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C4E2" w14:textId="4D013331" w:rsidR="004E0167" w:rsidRDefault="00591929">
      <w:r>
        <w:rPr>
          <w:noProof/>
        </w:rPr>
        <w:drawing>
          <wp:anchor distT="0" distB="0" distL="114300" distR="114300" simplePos="0" relativeHeight="251658240" behindDoc="0" locked="0" layoutInCell="1" allowOverlap="1" wp14:anchorId="4215C5FA" wp14:editId="23DB104D">
            <wp:simplePos x="0" y="0"/>
            <wp:positionH relativeFrom="column">
              <wp:posOffset>658091</wp:posOffset>
            </wp:positionH>
            <wp:positionV relativeFrom="paragraph">
              <wp:posOffset>577</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p>
    <w:p w14:paraId="1BAEC4E3" w14:textId="77777777" w:rsidR="004E0167" w:rsidRDefault="004E0167">
      <w:pPr>
        <w:jc w:val="center"/>
        <w:rPr>
          <w:sz w:val="32"/>
          <w:szCs w:val="32"/>
        </w:rPr>
      </w:pPr>
    </w:p>
    <w:p w14:paraId="1BAEC4E4" w14:textId="77777777" w:rsidR="004E0167" w:rsidRDefault="004E0167">
      <w:pPr>
        <w:jc w:val="center"/>
        <w:rPr>
          <w:sz w:val="32"/>
          <w:szCs w:val="32"/>
        </w:rPr>
      </w:pPr>
    </w:p>
    <w:p w14:paraId="1BAEC4E5" w14:textId="77777777" w:rsidR="004E0167" w:rsidRDefault="004E0167">
      <w:pPr>
        <w:jc w:val="center"/>
        <w:rPr>
          <w:sz w:val="32"/>
          <w:szCs w:val="32"/>
        </w:rPr>
      </w:pPr>
    </w:p>
    <w:p w14:paraId="1BAEC4E6" w14:textId="77777777" w:rsidR="004E0167" w:rsidRDefault="004E0167">
      <w:pPr>
        <w:pStyle w:val="Heading1"/>
      </w:pPr>
      <w:bookmarkStart w:id="0" w:name="_ttvdxo2ede84" w:colFirst="0" w:colLast="0"/>
      <w:bookmarkEnd w:id="0"/>
    </w:p>
    <w:p w14:paraId="1BAEC4E7" w14:textId="77777777" w:rsidR="004E0167" w:rsidRDefault="00583F4E">
      <w:pPr>
        <w:pStyle w:val="Heading1"/>
      </w:pPr>
      <w:bookmarkStart w:id="1" w:name="_utdcekywrefg" w:colFirst="0" w:colLast="0"/>
      <w:bookmarkEnd w:id="1"/>
      <w:r>
        <w:t>Conclusions</w:t>
      </w:r>
    </w:p>
    <w:p w14:paraId="1BAEC4E8" w14:textId="77777777" w:rsidR="004E0167" w:rsidRDefault="004E0167">
      <w:pPr>
        <w:ind w:left="1440"/>
      </w:pPr>
    </w:p>
    <w:p w14:paraId="1BAEC4EC" w14:textId="67C23672" w:rsidR="004E0167" w:rsidRDefault="00583F4E">
      <w:pPr>
        <w:rPr>
          <w:sz w:val="24"/>
          <w:szCs w:val="24"/>
        </w:rPr>
      </w:pPr>
      <w:r>
        <w:rPr>
          <w:sz w:val="24"/>
          <w:szCs w:val="24"/>
        </w:rPr>
        <w:t>Conclusions move readers from the specific main points of the body paragraphs to a broader analysis of why the information provided is important. An academic conclusion typically does the following:</w:t>
      </w:r>
    </w:p>
    <w:p w14:paraId="1BAEC4ED" w14:textId="0B10B18E" w:rsidR="004E0167" w:rsidRPr="00C85A89" w:rsidRDefault="00E305F5">
      <w:pPr>
        <w:pStyle w:val="Heading3"/>
        <w:rPr>
          <w:b/>
          <w:bCs/>
          <w:sz w:val="32"/>
          <w:szCs w:val="32"/>
        </w:rPr>
      </w:pPr>
      <w:bookmarkStart w:id="2" w:name="_ll8yj0aflre7" w:colFirst="0" w:colLast="0"/>
      <w:bookmarkEnd w:id="2"/>
      <w:r>
        <w:rPr>
          <w:b/>
          <w:bCs/>
          <w:sz w:val="32"/>
          <w:szCs w:val="32"/>
        </w:rPr>
        <w:t>Revise</w:t>
      </w:r>
      <w:r w:rsidR="00583F4E" w:rsidRPr="00C85A89">
        <w:rPr>
          <w:b/>
          <w:bCs/>
          <w:sz w:val="32"/>
          <w:szCs w:val="32"/>
        </w:rPr>
        <w:t xml:space="preserve"> the Thesis </w:t>
      </w:r>
    </w:p>
    <w:p w14:paraId="1BAEC4EE" w14:textId="77777777" w:rsidR="004E0167" w:rsidRDefault="00583F4E">
      <w:pPr>
        <w:rPr>
          <w:color w:val="000000"/>
          <w:sz w:val="24"/>
          <w:szCs w:val="24"/>
        </w:rPr>
      </w:pPr>
      <w:r>
        <w:rPr>
          <w:color w:val="000000"/>
          <w:sz w:val="24"/>
          <w:szCs w:val="24"/>
        </w:rPr>
        <w:t xml:space="preserve">The conclusion may contain the most complex and evolved version of the thesis statement, not just a word-for-word from the introduction. Now that readers have </w:t>
      </w:r>
      <w:proofErr w:type="gramStart"/>
      <w:r>
        <w:rPr>
          <w:color w:val="000000"/>
          <w:sz w:val="24"/>
          <w:szCs w:val="24"/>
        </w:rPr>
        <w:t>been given</w:t>
      </w:r>
      <w:proofErr w:type="gramEnd"/>
      <w:r>
        <w:rPr>
          <w:color w:val="000000"/>
          <w:sz w:val="24"/>
          <w:szCs w:val="24"/>
        </w:rPr>
        <w:t xml:space="preserve"> </w:t>
      </w:r>
      <w:proofErr w:type="gramStart"/>
      <w:r>
        <w:rPr>
          <w:color w:val="000000"/>
          <w:sz w:val="24"/>
          <w:szCs w:val="24"/>
        </w:rPr>
        <w:t>all of</w:t>
      </w:r>
      <w:proofErr w:type="gramEnd"/>
      <w:r>
        <w:rPr>
          <w:color w:val="000000"/>
          <w:sz w:val="24"/>
          <w:szCs w:val="24"/>
        </w:rPr>
        <w:t xml:space="preserve"> the supporting claims and evidence, they are better prepared for—and anticipating—the strongest assertion of the main argument. </w:t>
      </w:r>
    </w:p>
    <w:p w14:paraId="1BAEC4EF" w14:textId="3B5AC9FB" w:rsidR="004E0167" w:rsidRPr="00C85A89" w:rsidRDefault="00583F4E">
      <w:pPr>
        <w:pStyle w:val="Heading3"/>
        <w:rPr>
          <w:b/>
          <w:bCs/>
          <w:sz w:val="32"/>
          <w:szCs w:val="32"/>
        </w:rPr>
      </w:pPr>
      <w:bookmarkStart w:id="3" w:name="_matsvignqgrf" w:colFirst="0" w:colLast="0"/>
      <w:bookmarkEnd w:id="3"/>
      <w:r w:rsidRPr="00C85A89">
        <w:rPr>
          <w:b/>
          <w:bCs/>
          <w:sz w:val="32"/>
          <w:szCs w:val="32"/>
        </w:rPr>
        <w:t xml:space="preserve">Synthesize the Main Points </w:t>
      </w:r>
    </w:p>
    <w:p w14:paraId="1BAEC4F0" w14:textId="77777777" w:rsidR="004E0167" w:rsidRDefault="00583F4E">
      <w:pPr>
        <w:rPr>
          <w:color w:val="000000"/>
          <w:sz w:val="24"/>
          <w:szCs w:val="24"/>
        </w:rPr>
      </w:pPr>
      <w:r>
        <w:rPr>
          <w:color w:val="000000"/>
          <w:sz w:val="24"/>
          <w:szCs w:val="24"/>
        </w:rPr>
        <w:t xml:space="preserve">Rather than simply summarizing, writers show how the claims, evidence, and analysis used in the essay logically relate to and build </w:t>
      </w:r>
      <w:proofErr w:type="gramStart"/>
      <w:r>
        <w:rPr>
          <w:color w:val="000000"/>
          <w:sz w:val="24"/>
          <w:szCs w:val="24"/>
        </w:rPr>
        <w:t>off of</w:t>
      </w:r>
      <w:proofErr w:type="gramEnd"/>
      <w:r>
        <w:rPr>
          <w:color w:val="000000"/>
          <w:sz w:val="24"/>
          <w:szCs w:val="24"/>
        </w:rPr>
        <w:t xml:space="preserve"> each other to answer the question, “So what?” Synthesizing these elements of the argument helps readers follow the progression of ideas and reinforces how those ideas come together to ultimately contribute something important to the conversation.</w:t>
      </w:r>
    </w:p>
    <w:p w14:paraId="1BAEC4F1" w14:textId="25036732" w:rsidR="004E0167" w:rsidRPr="00C85A89" w:rsidRDefault="00583F4E">
      <w:pPr>
        <w:pStyle w:val="Heading3"/>
        <w:rPr>
          <w:b/>
          <w:bCs/>
          <w:sz w:val="32"/>
          <w:szCs w:val="32"/>
        </w:rPr>
      </w:pPr>
      <w:bookmarkStart w:id="4" w:name="_jjk6h1ftmbw2" w:colFirst="0" w:colLast="0"/>
      <w:bookmarkEnd w:id="4"/>
      <w:r w:rsidRPr="00C85A89">
        <w:rPr>
          <w:b/>
          <w:bCs/>
          <w:sz w:val="32"/>
          <w:szCs w:val="32"/>
        </w:rPr>
        <w:t>Extend the Conversation</w:t>
      </w:r>
    </w:p>
    <w:p w14:paraId="1BAEC4F2" w14:textId="77777777" w:rsidR="004E0167" w:rsidRDefault="00583F4E">
      <w:pPr>
        <w:rPr>
          <w:sz w:val="24"/>
          <w:szCs w:val="24"/>
        </w:rPr>
      </w:pPr>
      <w:r>
        <w:rPr>
          <w:sz w:val="24"/>
          <w:szCs w:val="24"/>
        </w:rPr>
        <w:t xml:space="preserve">To further prove the importance of their contribution to the conversation, writers may also discuss the future implications of that contribution—in effect, showing how the conversation can continue. If an introduction moves from broad to specific (inverted pyramid), then the conclusion moves from specific to broad. Depending on the type of argument made, one of the following approaches may be used to extend the conversation:  </w:t>
      </w:r>
    </w:p>
    <w:p w14:paraId="1BAEC4F3" w14:textId="77777777" w:rsidR="004E0167" w:rsidRDefault="00583F4E">
      <w:pPr>
        <w:numPr>
          <w:ilvl w:val="0"/>
          <w:numId w:val="1"/>
        </w:numPr>
        <w:rPr>
          <w:color w:val="000000"/>
          <w:sz w:val="24"/>
          <w:szCs w:val="24"/>
        </w:rPr>
      </w:pPr>
      <w:r>
        <w:rPr>
          <w:color w:val="000000"/>
          <w:sz w:val="24"/>
          <w:szCs w:val="24"/>
          <w:u w:val="single"/>
        </w:rPr>
        <w:t>Call for More Research/Consideration:</w:t>
      </w:r>
      <w:r>
        <w:rPr>
          <w:color w:val="000000"/>
          <w:sz w:val="24"/>
          <w:szCs w:val="24"/>
        </w:rPr>
        <w:t xml:space="preserve"> best for arguments that prove a problem exists or that define a problem.</w:t>
      </w:r>
    </w:p>
    <w:p w14:paraId="1BAEC4F4" w14:textId="77777777" w:rsidR="004E0167" w:rsidRDefault="00583F4E">
      <w:pPr>
        <w:numPr>
          <w:ilvl w:val="1"/>
          <w:numId w:val="1"/>
        </w:numPr>
        <w:rPr>
          <w:color w:val="000000"/>
          <w:sz w:val="24"/>
          <w:szCs w:val="24"/>
        </w:rPr>
      </w:pPr>
      <w:r>
        <w:rPr>
          <w:color w:val="000000"/>
          <w:sz w:val="24"/>
          <w:szCs w:val="24"/>
        </w:rPr>
        <w:t>Emphasizes the need for more work, additional research, or new ideas/theories that may further define the problem or investigate the value of the issue.</w:t>
      </w:r>
    </w:p>
    <w:p w14:paraId="1BAEC4F5" w14:textId="77777777" w:rsidR="004E0167" w:rsidRDefault="00583F4E">
      <w:pPr>
        <w:numPr>
          <w:ilvl w:val="0"/>
          <w:numId w:val="1"/>
        </w:numPr>
        <w:rPr>
          <w:color w:val="000000"/>
          <w:sz w:val="24"/>
          <w:szCs w:val="24"/>
        </w:rPr>
      </w:pPr>
      <w:r>
        <w:rPr>
          <w:color w:val="000000"/>
          <w:sz w:val="24"/>
          <w:szCs w:val="24"/>
          <w:u w:val="single"/>
        </w:rPr>
        <w:t>Call to Action</w:t>
      </w:r>
      <w:r>
        <w:rPr>
          <w:color w:val="000000"/>
          <w:sz w:val="24"/>
          <w:szCs w:val="24"/>
        </w:rPr>
        <w:t>: best for arguments that evaluate a problem or situation.</w:t>
      </w:r>
    </w:p>
    <w:p w14:paraId="1BAEC4F6" w14:textId="77777777" w:rsidR="004E0167" w:rsidRDefault="00583F4E">
      <w:pPr>
        <w:numPr>
          <w:ilvl w:val="1"/>
          <w:numId w:val="1"/>
        </w:numPr>
        <w:rPr>
          <w:color w:val="000000"/>
          <w:sz w:val="24"/>
          <w:szCs w:val="24"/>
        </w:rPr>
      </w:pPr>
      <w:r>
        <w:rPr>
          <w:color w:val="000000"/>
          <w:sz w:val="24"/>
          <w:szCs w:val="24"/>
        </w:rPr>
        <w:t xml:space="preserve">Directly addresses an interested audience and compels them to </w:t>
      </w:r>
      <w:proofErr w:type="gramStart"/>
      <w:r>
        <w:rPr>
          <w:color w:val="000000"/>
          <w:sz w:val="24"/>
          <w:szCs w:val="24"/>
        </w:rPr>
        <w:t>take action</w:t>
      </w:r>
      <w:proofErr w:type="gramEnd"/>
      <w:r>
        <w:rPr>
          <w:color w:val="000000"/>
          <w:sz w:val="24"/>
          <w:szCs w:val="24"/>
        </w:rPr>
        <w:t xml:space="preserve"> to remedy or change the problem or situation at hand.</w:t>
      </w:r>
    </w:p>
    <w:p w14:paraId="1BAEC4F7" w14:textId="77777777" w:rsidR="004E0167" w:rsidRDefault="00583F4E">
      <w:pPr>
        <w:numPr>
          <w:ilvl w:val="0"/>
          <w:numId w:val="1"/>
        </w:numPr>
        <w:rPr>
          <w:color w:val="000000"/>
          <w:sz w:val="24"/>
          <w:szCs w:val="24"/>
        </w:rPr>
      </w:pPr>
      <w:r>
        <w:rPr>
          <w:color w:val="000000"/>
          <w:sz w:val="24"/>
          <w:szCs w:val="24"/>
          <w:u w:val="single"/>
        </w:rPr>
        <w:t>Hypothesize Results/Consequences</w:t>
      </w:r>
      <w:r>
        <w:rPr>
          <w:color w:val="000000"/>
          <w:sz w:val="24"/>
          <w:szCs w:val="24"/>
        </w:rPr>
        <w:t>: best for proposal or policy arguments.</w:t>
      </w:r>
    </w:p>
    <w:p w14:paraId="1BAEC4F8" w14:textId="77777777" w:rsidR="004E0167" w:rsidRDefault="00583F4E">
      <w:pPr>
        <w:numPr>
          <w:ilvl w:val="1"/>
          <w:numId w:val="1"/>
        </w:numPr>
        <w:rPr>
          <w:color w:val="000000"/>
          <w:sz w:val="24"/>
          <w:szCs w:val="24"/>
        </w:rPr>
      </w:pPr>
      <w:r>
        <w:rPr>
          <w:color w:val="000000"/>
          <w:sz w:val="24"/>
          <w:szCs w:val="24"/>
        </w:rPr>
        <w:t>Predicts success, disaster or other potential outcome if the proposed action is or isn’t taken.</w:t>
      </w:r>
    </w:p>
    <w:p w14:paraId="1BAEC4F9" w14:textId="77777777" w:rsidR="004E0167" w:rsidRDefault="004E0167">
      <w:pPr>
        <w:pStyle w:val="Heading2"/>
        <w:ind w:left="1800"/>
      </w:pPr>
      <w:bookmarkStart w:id="5" w:name="_o7xc9t65imlp" w:colFirst="0" w:colLast="0"/>
      <w:bookmarkEnd w:id="5"/>
    </w:p>
    <w:p w14:paraId="1BAEC4FA" w14:textId="05B7F26A" w:rsidR="004E0167" w:rsidRDefault="003A7D51">
      <w:pPr>
        <w:pStyle w:val="Heading2"/>
      </w:pPr>
      <w:bookmarkStart w:id="6" w:name="_geg08psmgf2v" w:colFirst="0" w:colLast="0"/>
      <w:bookmarkEnd w:id="6"/>
      <w:r>
        <w:t>Things</w:t>
      </w:r>
      <w:r w:rsidR="00583F4E">
        <w:t xml:space="preserve"> to Avoid</w:t>
      </w:r>
    </w:p>
    <w:p w14:paraId="1BAEC4FB" w14:textId="77777777" w:rsidR="004E0167" w:rsidRDefault="00583F4E">
      <w:pPr>
        <w:rPr>
          <w:color w:val="000000"/>
          <w:sz w:val="24"/>
          <w:szCs w:val="24"/>
        </w:rPr>
      </w:pPr>
      <w:r>
        <w:rPr>
          <w:color w:val="000000"/>
          <w:sz w:val="24"/>
          <w:szCs w:val="24"/>
        </w:rPr>
        <w:t xml:space="preserve">While a strong conclusion may do any or </w:t>
      </w:r>
      <w:proofErr w:type="gramStart"/>
      <w:r>
        <w:rPr>
          <w:color w:val="000000"/>
          <w:sz w:val="24"/>
          <w:szCs w:val="24"/>
        </w:rPr>
        <w:t>all of</w:t>
      </w:r>
      <w:proofErr w:type="gramEnd"/>
      <w:r>
        <w:rPr>
          <w:color w:val="000000"/>
          <w:sz w:val="24"/>
          <w:szCs w:val="24"/>
        </w:rPr>
        <w:t xml:space="preserve"> the </w:t>
      </w:r>
      <w:r>
        <w:rPr>
          <w:sz w:val="24"/>
          <w:szCs w:val="24"/>
        </w:rPr>
        <w:t>previously stated</w:t>
      </w:r>
      <w:r>
        <w:rPr>
          <w:color w:val="000000"/>
          <w:sz w:val="24"/>
          <w:szCs w:val="24"/>
        </w:rPr>
        <w:t xml:space="preserve">, there are several common conclusion techniques that should </w:t>
      </w:r>
      <w:proofErr w:type="gramStart"/>
      <w:r>
        <w:rPr>
          <w:color w:val="000000"/>
          <w:sz w:val="24"/>
          <w:szCs w:val="24"/>
        </w:rPr>
        <w:t>be avoided</w:t>
      </w:r>
      <w:proofErr w:type="gramEnd"/>
      <w:r>
        <w:rPr>
          <w:color w:val="000000"/>
          <w:sz w:val="24"/>
          <w:szCs w:val="24"/>
        </w:rPr>
        <w:t>.</w:t>
      </w:r>
    </w:p>
    <w:p w14:paraId="1BAEC4FC" w14:textId="77777777" w:rsidR="004E0167" w:rsidRDefault="00583F4E">
      <w:pPr>
        <w:pStyle w:val="Heading3"/>
      </w:pPr>
      <w:bookmarkStart w:id="7" w:name="_oamnp61y8i7l" w:colFirst="0" w:colLast="0"/>
      <w:bookmarkEnd w:id="7"/>
      <w:r>
        <w:t>New Supporting Points or Evidence</w:t>
      </w:r>
    </w:p>
    <w:p w14:paraId="1BAEC4FD" w14:textId="77777777" w:rsidR="004E0167" w:rsidRDefault="00583F4E">
      <w:pPr>
        <w:rPr>
          <w:color w:val="000000"/>
          <w:sz w:val="24"/>
          <w:szCs w:val="24"/>
        </w:rPr>
      </w:pPr>
      <w:r>
        <w:rPr>
          <w:color w:val="000000"/>
          <w:sz w:val="24"/>
          <w:szCs w:val="24"/>
        </w:rPr>
        <w:t>While extending the conversation provides a valid conclusion, this should not be confused with simply adding new claims or evidence.  All claims and evidence should be found only in the body of the essay.  Writers should be done making their argument by the time they reach the conclusion.</w:t>
      </w:r>
    </w:p>
    <w:p w14:paraId="1BAEC4FE" w14:textId="77777777" w:rsidR="004E0167" w:rsidRDefault="00583F4E">
      <w:pPr>
        <w:pStyle w:val="Heading3"/>
      </w:pPr>
      <w:bookmarkStart w:id="8" w:name="_q73y809qik8" w:colFirst="0" w:colLast="0"/>
      <w:bookmarkEnd w:id="8"/>
      <w:r>
        <w:t>Cliché Phrases</w:t>
      </w:r>
    </w:p>
    <w:p w14:paraId="1BAEC4FF" w14:textId="77777777" w:rsidR="004E0167" w:rsidRDefault="00583F4E">
      <w:pPr>
        <w:rPr>
          <w:color w:val="000000"/>
          <w:sz w:val="24"/>
          <w:szCs w:val="24"/>
        </w:rPr>
      </w:pPr>
      <w:r>
        <w:rPr>
          <w:color w:val="000000"/>
          <w:sz w:val="24"/>
          <w:szCs w:val="24"/>
        </w:rPr>
        <w:t xml:space="preserve">Overused transitions such as “In conclusion…” or “At the end of the day…” are redundant and not appropriate for academic conclusions. Since this is the final section of the paper, the reader already understands it to be the conclusion, and overtly stating this information is unnecessary. </w:t>
      </w:r>
    </w:p>
    <w:p w14:paraId="1BAEC500" w14:textId="77777777" w:rsidR="004E0167" w:rsidRDefault="004E0167">
      <w:pPr>
        <w:rPr>
          <w:color w:val="000000"/>
          <w:sz w:val="24"/>
          <w:szCs w:val="24"/>
        </w:rPr>
      </w:pPr>
    </w:p>
    <w:p w14:paraId="1BAEC501" w14:textId="77777777" w:rsidR="004E0167" w:rsidRDefault="004E0167">
      <w:pPr>
        <w:rPr>
          <w:color w:val="000000"/>
          <w:sz w:val="24"/>
          <w:szCs w:val="24"/>
        </w:rPr>
      </w:pPr>
    </w:p>
    <w:p w14:paraId="1BAEC502" w14:textId="77777777" w:rsidR="004E0167" w:rsidRDefault="004E0167">
      <w:pPr>
        <w:rPr>
          <w:color w:val="000000"/>
          <w:sz w:val="24"/>
          <w:szCs w:val="24"/>
        </w:rPr>
      </w:pPr>
    </w:p>
    <w:p w14:paraId="1BAEC503" w14:textId="77777777" w:rsidR="004E0167" w:rsidRDefault="004E0167">
      <w:pPr>
        <w:rPr>
          <w:color w:val="000000"/>
          <w:sz w:val="24"/>
          <w:szCs w:val="24"/>
        </w:rPr>
      </w:pPr>
    </w:p>
    <w:p w14:paraId="1BAEC504" w14:textId="77777777" w:rsidR="004E0167" w:rsidRDefault="004E0167">
      <w:pPr>
        <w:rPr>
          <w:color w:val="000000"/>
          <w:sz w:val="24"/>
          <w:szCs w:val="24"/>
        </w:rPr>
      </w:pPr>
    </w:p>
    <w:p w14:paraId="1BAEC505" w14:textId="77777777" w:rsidR="004E0167" w:rsidRDefault="004E0167">
      <w:pPr>
        <w:rPr>
          <w:color w:val="000000"/>
          <w:sz w:val="24"/>
          <w:szCs w:val="24"/>
        </w:rPr>
      </w:pPr>
    </w:p>
    <w:p w14:paraId="1BAEC506" w14:textId="77777777" w:rsidR="004E0167" w:rsidRDefault="004E0167">
      <w:pPr>
        <w:rPr>
          <w:color w:val="000000"/>
          <w:sz w:val="24"/>
          <w:szCs w:val="24"/>
        </w:rPr>
      </w:pPr>
    </w:p>
    <w:p w14:paraId="1BAEC507" w14:textId="77777777" w:rsidR="004E0167" w:rsidRDefault="004E0167">
      <w:pPr>
        <w:rPr>
          <w:color w:val="000000"/>
          <w:sz w:val="24"/>
          <w:szCs w:val="24"/>
        </w:rPr>
      </w:pPr>
    </w:p>
    <w:p w14:paraId="1BAEC508" w14:textId="77777777" w:rsidR="004E0167" w:rsidRDefault="004E0167">
      <w:pPr>
        <w:rPr>
          <w:color w:val="000000"/>
          <w:sz w:val="24"/>
          <w:szCs w:val="24"/>
        </w:rPr>
      </w:pPr>
    </w:p>
    <w:p w14:paraId="1BAEC509" w14:textId="77777777" w:rsidR="004E0167" w:rsidRDefault="004E0167">
      <w:pPr>
        <w:rPr>
          <w:color w:val="000000"/>
          <w:sz w:val="24"/>
          <w:szCs w:val="24"/>
        </w:rPr>
      </w:pPr>
    </w:p>
    <w:p w14:paraId="1BAEC50A" w14:textId="77777777" w:rsidR="004E0167" w:rsidRDefault="004E0167">
      <w:pPr>
        <w:rPr>
          <w:color w:val="000000"/>
          <w:sz w:val="24"/>
          <w:szCs w:val="24"/>
        </w:rPr>
      </w:pPr>
    </w:p>
    <w:p w14:paraId="1BAEC50B" w14:textId="77777777" w:rsidR="004E0167" w:rsidRDefault="004E0167">
      <w:pPr>
        <w:rPr>
          <w:color w:val="000000"/>
          <w:sz w:val="24"/>
          <w:szCs w:val="24"/>
        </w:rPr>
      </w:pPr>
    </w:p>
    <w:p w14:paraId="1BAEC50C" w14:textId="77777777" w:rsidR="004E0167" w:rsidRDefault="004E0167">
      <w:pPr>
        <w:rPr>
          <w:color w:val="000000"/>
          <w:sz w:val="24"/>
          <w:szCs w:val="24"/>
        </w:rPr>
      </w:pPr>
    </w:p>
    <w:p w14:paraId="1BAEC50D" w14:textId="77777777" w:rsidR="004E0167" w:rsidRDefault="004E0167">
      <w:pPr>
        <w:rPr>
          <w:color w:val="000000"/>
          <w:sz w:val="24"/>
          <w:szCs w:val="24"/>
        </w:rPr>
      </w:pPr>
    </w:p>
    <w:p w14:paraId="1BAEC50E" w14:textId="77777777" w:rsidR="004E0167" w:rsidRDefault="004E0167">
      <w:pPr>
        <w:pBdr>
          <w:top w:val="nil"/>
          <w:left w:val="nil"/>
          <w:bottom w:val="nil"/>
          <w:right w:val="nil"/>
          <w:between w:val="nil"/>
        </w:pBdr>
        <w:tabs>
          <w:tab w:val="center" w:pos="4320"/>
          <w:tab w:val="right" w:pos="8640"/>
        </w:tabs>
        <w:spacing w:line="240" w:lineRule="auto"/>
        <w:ind w:right="360"/>
        <w:jc w:val="center"/>
        <w:rPr>
          <w:rFonts w:ascii="Times New Roman" w:eastAsia="Times New Roman" w:hAnsi="Times New Roman" w:cs="Times New Roman"/>
          <w:color w:val="000000"/>
          <w:sz w:val="24"/>
          <w:szCs w:val="24"/>
        </w:rPr>
      </w:pPr>
    </w:p>
    <w:p w14:paraId="1BAEC50F" w14:textId="77777777" w:rsidR="004E0167" w:rsidRDefault="004E0167"/>
    <w:p w14:paraId="1BAEC510" w14:textId="77777777" w:rsidR="004E0167" w:rsidRDefault="004E0167"/>
    <w:tbl>
      <w:tblPr>
        <w:tblStyle w:val="a"/>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E0167" w14:paraId="1BAEC514" w14:textId="77777777">
        <w:tc>
          <w:tcPr>
            <w:tcW w:w="10800" w:type="dxa"/>
            <w:tcMar>
              <w:top w:w="100" w:type="dxa"/>
              <w:left w:w="100" w:type="dxa"/>
              <w:bottom w:w="100" w:type="dxa"/>
              <w:right w:w="100" w:type="dxa"/>
            </w:tcMar>
          </w:tcPr>
          <w:p w14:paraId="1BAEC511" w14:textId="77777777" w:rsidR="004E0167" w:rsidRDefault="00583F4E">
            <w:pPr>
              <w:widowControl w:val="0"/>
              <w:pBdr>
                <w:top w:val="nil"/>
                <w:left w:val="nil"/>
                <w:bottom w:val="nil"/>
                <w:right w:val="nil"/>
                <w:between w:val="nil"/>
              </w:pBdr>
              <w:spacing w:line="240" w:lineRule="auto"/>
            </w:pPr>
            <w:r>
              <w:t xml:space="preserve">For further information/related concepts, please see the following handouts: </w:t>
            </w:r>
          </w:p>
          <w:p w14:paraId="1BAEC512" w14:textId="77777777" w:rsidR="004E0167" w:rsidRDefault="00583F4E">
            <w:pPr>
              <w:widowControl w:val="0"/>
              <w:numPr>
                <w:ilvl w:val="0"/>
                <w:numId w:val="2"/>
              </w:numPr>
              <w:pBdr>
                <w:top w:val="nil"/>
                <w:left w:val="nil"/>
                <w:bottom w:val="nil"/>
                <w:right w:val="nil"/>
                <w:between w:val="nil"/>
              </w:pBdr>
              <w:spacing w:line="240" w:lineRule="auto"/>
            </w:pPr>
            <w:r>
              <w:t>Introductions</w:t>
            </w:r>
          </w:p>
          <w:p w14:paraId="1BAEC513" w14:textId="77777777" w:rsidR="004E0167" w:rsidRDefault="00583F4E">
            <w:pPr>
              <w:widowControl w:val="0"/>
              <w:numPr>
                <w:ilvl w:val="0"/>
                <w:numId w:val="2"/>
              </w:numPr>
              <w:pBdr>
                <w:top w:val="nil"/>
                <w:left w:val="nil"/>
                <w:bottom w:val="nil"/>
                <w:right w:val="nil"/>
                <w:between w:val="nil"/>
              </w:pBdr>
              <w:spacing w:line="240" w:lineRule="auto"/>
            </w:pPr>
            <w:r>
              <w:t>Paragraph Development</w:t>
            </w:r>
          </w:p>
        </w:tc>
      </w:tr>
    </w:tbl>
    <w:p w14:paraId="1BAEC515" w14:textId="77777777" w:rsidR="004E0167" w:rsidRDefault="004E0167"/>
    <w:sectPr w:rsidR="004E0167">
      <w:footerReference w:type="even" r:id="rId11"/>
      <w:footerReference w:type="default" r:id="rId12"/>
      <w:footerReference w:type="first" r:id="rId13"/>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4080" w14:textId="77777777" w:rsidR="00DE663D" w:rsidRDefault="00DE663D">
      <w:pPr>
        <w:spacing w:line="240" w:lineRule="auto"/>
      </w:pPr>
      <w:r>
        <w:separator/>
      </w:r>
    </w:p>
  </w:endnote>
  <w:endnote w:type="continuationSeparator" w:id="0">
    <w:p w14:paraId="652FDBCA" w14:textId="77777777" w:rsidR="00DE663D" w:rsidRDefault="00DE6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C518" w14:textId="77777777" w:rsidR="004E0167" w:rsidRDefault="00583F4E">
    <w:pPr>
      <w:pBdr>
        <w:top w:val="nil"/>
        <w:left w:val="nil"/>
        <w:bottom w:val="nil"/>
        <w:right w:val="nil"/>
        <w:between w:val="nil"/>
      </w:pBdr>
      <w:tabs>
        <w:tab w:val="center" w:pos="4320"/>
        <w:tab w:val="right" w:pos="8640"/>
      </w:tabs>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1BAEC519" w14:textId="77777777" w:rsidR="004E0167" w:rsidRDefault="004E0167">
    <w:pPr>
      <w:pBdr>
        <w:top w:val="nil"/>
        <w:left w:val="nil"/>
        <w:bottom w:val="nil"/>
        <w:right w:val="nil"/>
        <w:between w:val="nil"/>
      </w:pBdr>
      <w:tabs>
        <w:tab w:val="center" w:pos="4320"/>
        <w:tab w:val="right" w:pos="8640"/>
      </w:tabs>
      <w:spacing w:line="240" w:lineRule="auto"/>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C51A" w14:textId="74B57A31" w:rsidR="004E0167" w:rsidRDefault="00583F4E">
    <w:pPr>
      <w:pBdr>
        <w:top w:val="nil"/>
        <w:left w:val="nil"/>
        <w:bottom w:val="nil"/>
        <w:right w:val="nil"/>
        <w:between w:val="nil"/>
      </w:pBdr>
      <w:tabs>
        <w:tab w:val="center" w:pos="4320"/>
        <w:tab w:val="right" w:pos="8640"/>
      </w:tabs>
      <w:spacing w:line="240" w:lineRule="auto"/>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85A89">
      <w:rPr>
        <w:noProof/>
        <w:color w:val="000000"/>
        <w:sz w:val="24"/>
        <w:szCs w:val="24"/>
      </w:rPr>
      <w:t>2</w:t>
    </w:r>
    <w:r>
      <w:rPr>
        <w:color w:val="000000"/>
        <w:sz w:val="24"/>
        <w:szCs w:val="24"/>
      </w:rPr>
      <w:fldChar w:fldCharType="end"/>
    </w:r>
  </w:p>
  <w:p w14:paraId="1BAEC51B" w14:textId="77777777" w:rsidR="004E0167" w:rsidRDefault="004E0167">
    <w:pPr>
      <w:pBdr>
        <w:top w:val="nil"/>
        <w:left w:val="nil"/>
        <w:bottom w:val="nil"/>
        <w:right w:val="nil"/>
        <w:between w:val="nil"/>
      </w:pBdr>
      <w:tabs>
        <w:tab w:val="center" w:pos="4320"/>
        <w:tab w:val="right" w:pos="8640"/>
      </w:tabs>
      <w:spacing w:line="240" w:lineRule="auto"/>
      <w:ind w:right="360"/>
      <w:jc w:val="center"/>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C51C" w14:textId="77777777" w:rsidR="004E0167" w:rsidRDefault="004E0167">
    <w:pPr>
      <w:pBdr>
        <w:top w:val="nil"/>
        <w:left w:val="nil"/>
        <w:bottom w:val="nil"/>
        <w:right w:val="nil"/>
        <w:between w:val="nil"/>
      </w:pBdr>
      <w:tabs>
        <w:tab w:val="center" w:pos="4320"/>
        <w:tab w:val="right" w:pos="8640"/>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9257" w14:textId="77777777" w:rsidR="00DE663D" w:rsidRDefault="00DE663D">
      <w:pPr>
        <w:spacing w:line="240" w:lineRule="auto"/>
      </w:pPr>
      <w:r>
        <w:separator/>
      </w:r>
    </w:p>
  </w:footnote>
  <w:footnote w:type="continuationSeparator" w:id="0">
    <w:p w14:paraId="783E9260" w14:textId="77777777" w:rsidR="00DE663D" w:rsidRDefault="00DE66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367B1"/>
    <w:multiLevelType w:val="multilevel"/>
    <w:tmpl w:val="9566D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AD1CDE"/>
    <w:multiLevelType w:val="multilevel"/>
    <w:tmpl w:val="4C140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693132">
    <w:abstractNumId w:val="0"/>
  </w:num>
  <w:num w:numId="2" w16cid:durableId="70093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167"/>
    <w:rsid w:val="000926CE"/>
    <w:rsid w:val="003156BB"/>
    <w:rsid w:val="003A7D51"/>
    <w:rsid w:val="003E4D4B"/>
    <w:rsid w:val="004E0167"/>
    <w:rsid w:val="00583F4E"/>
    <w:rsid w:val="00591929"/>
    <w:rsid w:val="00805E04"/>
    <w:rsid w:val="00897227"/>
    <w:rsid w:val="0096346D"/>
    <w:rsid w:val="009A0998"/>
    <w:rsid w:val="009B5702"/>
    <w:rsid w:val="00B037D9"/>
    <w:rsid w:val="00C37E96"/>
    <w:rsid w:val="00C85A89"/>
    <w:rsid w:val="00CF0AD6"/>
    <w:rsid w:val="00DE663D"/>
    <w:rsid w:val="00E305F5"/>
    <w:rsid w:val="00FD59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AEC4E2"/>
  <w15:docId w15:val="{C81EE530-64FD-6F46-A0E8-34EC43BC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sz w:val="40"/>
      <w:szCs w:val="40"/>
    </w:rPr>
  </w:style>
  <w:style w:type="paragraph" w:styleId="Heading2">
    <w:name w:val="heading 2"/>
    <w:basedOn w:val="Normal"/>
    <w:next w:val="Normal"/>
    <w:uiPriority w:val="9"/>
    <w:unhideWhenUsed/>
    <w:qFormat/>
    <w:pPr>
      <w:keepNext/>
      <w:keepLines/>
      <w:outlineLvl w:val="1"/>
    </w:pPr>
    <w:rPr>
      <w:b/>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805E0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05E04"/>
  </w:style>
  <w:style w:type="paragraph" w:styleId="Footer">
    <w:name w:val="footer"/>
    <w:basedOn w:val="Normal"/>
    <w:link w:val="FooterChar"/>
    <w:uiPriority w:val="99"/>
    <w:semiHidden/>
    <w:unhideWhenUsed/>
    <w:rsid w:val="00805E0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05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32D40-A727-4021-B4D4-E6EA0DC9A9A6}">
  <ds:schemaRefs>
    <ds:schemaRef ds:uri="http://schemas.microsoft.com/sharepoint/v3/contenttype/forms"/>
  </ds:schemaRefs>
</ds:datastoreItem>
</file>

<file path=customXml/itemProps2.xml><?xml version="1.0" encoding="utf-8"?>
<ds:datastoreItem xmlns:ds="http://schemas.openxmlformats.org/officeDocument/2006/customXml" ds:itemID="{38D54AA9-1A9D-4FA7-BE45-CFB53B0D5BFC}">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3.xml><?xml version="1.0" encoding="utf-8"?>
<ds:datastoreItem xmlns:ds="http://schemas.openxmlformats.org/officeDocument/2006/customXml" ds:itemID="{B6446071-0B3B-406A-B192-B25E282FD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2491</Characters>
  <Application>Microsoft Office Word</Application>
  <DocSecurity>0</DocSecurity>
  <Lines>67</Lines>
  <Paragraphs>23</Paragraphs>
  <ScaleCrop>false</ScaleCrop>
  <Company>CU Denver Writing Center</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Steven Vigil-Roach</cp:lastModifiedBy>
  <cp:revision>9</cp:revision>
  <cp:lastPrinted>2026-03-18T19:12:00Z</cp:lastPrinted>
  <dcterms:created xsi:type="dcterms:W3CDTF">2025-10-23T18:48:00Z</dcterms:created>
  <dcterms:modified xsi:type="dcterms:W3CDTF">2026-03-18T19:12:00Z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ies>
</file>