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949C" w14:textId="44887ADD" w:rsidR="007A2F49" w:rsidRDefault="00BA1F4E">
      <w:r>
        <w:rPr>
          <w:noProof/>
        </w:rPr>
        <w:drawing>
          <wp:anchor distT="0" distB="0" distL="114300" distR="114300" simplePos="0" relativeHeight="251658240" behindDoc="0" locked="0" layoutInCell="1" allowOverlap="1" wp14:anchorId="42DE3E96" wp14:editId="443532BA">
            <wp:simplePos x="0" y="0"/>
            <wp:positionH relativeFrom="column">
              <wp:posOffset>658091</wp:posOffset>
            </wp:positionH>
            <wp:positionV relativeFrom="paragraph">
              <wp:posOffset>58</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0F3D949D" w14:textId="77777777" w:rsidR="007A2F49" w:rsidRDefault="00CB30F4">
      <w:pPr>
        <w:pStyle w:val="Heading1"/>
      </w:pPr>
      <w:r>
        <w:br/>
      </w:r>
    </w:p>
    <w:p w14:paraId="0F3D949E" w14:textId="77777777" w:rsidR="007A2F49" w:rsidRDefault="00CB30F4">
      <w:pPr>
        <w:pStyle w:val="Heading1"/>
        <w:jc w:val="center"/>
      </w:pPr>
      <w:r>
        <w:t xml:space="preserve">Chicago Manual of Style, 17th Edition </w:t>
      </w:r>
    </w:p>
    <w:p w14:paraId="0F3D949F" w14:textId="77777777" w:rsidR="007A2F49" w:rsidRDefault="00CB30F4">
      <w:pPr>
        <w:ind w:firstLine="720"/>
      </w:pPr>
      <w:r>
        <w:t>The Chicago Manual of Style (CMS) has a few options for documenting sources.</w:t>
      </w:r>
    </w:p>
    <w:p w14:paraId="0F3D94A0" w14:textId="77777777" w:rsidR="007A2F49" w:rsidRDefault="00CB30F4">
      <w:pPr>
        <w:ind w:firstLine="720"/>
      </w:pPr>
      <w:r>
        <w:t>This handout presents the CMOS Notes-Bibliography (NB) system.</w:t>
      </w:r>
    </w:p>
    <w:p w14:paraId="0F3D94A1" w14:textId="77777777" w:rsidR="007A2F49" w:rsidRDefault="00CB30F4">
      <w:pPr>
        <w:pStyle w:val="Heading2"/>
      </w:pPr>
      <w:bookmarkStart w:id="0" w:name="_jxeq0hp5i757" w:colFirst="0" w:colLast="0"/>
      <w:bookmarkEnd w:id="0"/>
      <w:r>
        <w:t>Notes-Bibliography System</w:t>
      </w:r>
    </w:p>
    <w:p w14:paraId="0F3D94A2" w14:textId="77777777" w:rsidR="007A2F49" w:rsidRDefault="00CB30F4">
      <w:r>
        <w:t>Like other citation styles, CMS uses a combination of in-text citations and a references page, but CMS calls them “notes” and “bibliography.” The Notes-Bibliography system (NB) uses either footnotes OR endnotes to list source information.</w:t>
      </w:r>
    </w:p>
    <w:p w14:paraId="0F3D94A3" w14:textId="77777777" w:rsidR="007A2F49" w:rsidRDefault="00CB30F4">
      <w:pPr>
        <w:pStyle w:val="Heading3"/>
      </w:pPr>
      <w:bookmarkStart w:id="1" w:name="_78iji734b87p" w:colFirst="0" w:colLast="0"/>
      <w:bookmarkEnd w:id="1"/>
      <w:r>
        <w:t>Notes</w:t>
      </w:r>
    </w:p>
    <w:p w14:paraId="0F3D94A4" w14:textId="77777777" w:rsidR="007A2F49" w:rsidRDefault="00CB30F4">
      <w:r>
        <w:t xml:space="preserve">Instead of parentheticals (like APA), CMS telegraphs cited content with superscript </w:t>
      </w:r>
      <w:r>
        <w:rPr>
          <w:b/>
        </w:rPr>
        <w:t>reference numbers</w:t>
      </w:r>
      <w:r>
        <w:t xml:space="preserve">, and source information is found in a </w:t>
      </w:r>
      <w:r>
        <w:rPr>
          <w:b/>
        </w:rPr>
        <w:t>note</w:t>
      </w:r>
      <w:r>
        <w:t xml:space="preserve"> at the end of the page or the paper along with a </w:t>
      </w:r>
      <w:r>
        <w:rPr>
          <w:b/>
        </w:rPr>
        <w:t>note number</w:t>
      </w:r>
      <w:r>
        <w:t xml:space="preserve"> that matches the reference number. In-text reference numbers appear at the end of a sentence or clause, superior/superscript, after any punctuation. In electronic formats, the reference numbers and note numbers are often </w:t>
      </w:r>
      <w:r>
        <w:rPr>
          <w:color w:val="6D9EEB"/>
          <w:u w:val="single"/>
        </w:rPr>
        <w:t>linked</w:t>
      </w:r>
      <w:r>
        <w:t>. Numbers should start with “1” and increase consecutively for each citation through the end of the document. (If a document is lengthy, consider resetting the numbering between sections or chapters.)</w:t>
      </w:r>
    </w:p>
    <w:p w14:paraId="0F3D94A5" w14:textId="77777777" w:rsidR="007A2F49" w:rsidRDefault="00CB30F4">
      <w:pPr>
        <w:pStyle w:val="Heading3"/>
      </w:pPr>
      <w:bookmarkStart w:id="2" w:name="_ct25uxmoyxaa" w:colFirst="0" w:colLast="0"/>
      <w:bookmarkEnd w:id="2"/>
      <w:r>
        <w:t>Footnotes</w:t>
      </w:r>
    </w:p>
    <w:p w14:paraId="0F3D94A6" w14:textId="77777777" w:rsidR="007A2F49" w:rsidRDefault="00CB30F4">
      <w:r>
        <w:t xml:space="preserve">Footnotes are located on the same page as the reference numbers themselves, grouped below the last line on the page. Footnotes include partial reference information (the author and title, as well as page number). </w:t>
      </w:r>
    </w:p>
    <w:p w14:paraId="0F3D94A7" w14:textId="77777777" w:rsidR="007A2F49" w:rsidRDefault="007A2F49">
      <w:pPr>
        <w:ind w:firstLine="720"/>
      </w:pPr>
    </w:p>
    <w:p w14:paraId="0F3D94A8" w14:textId="77777777" w:rsidR="007A2F49" w:rsidRDefault="00CB30F4">
      <w:pPr>
        <w:ind w:left="360" w:hanging="360"/>
      </w:pPr>
      <w:r>
        <w:rPr>
          <w:b/>
        </w:rPr>
        <w:t>Chicago Manual of Style</w:t>
      </w:r>
    </w:p>
    <w:p w14:paraId="0F3D94A9" w14:textId="77777777" w:rsidR="007A2F49" w:rsidRDefault="00CB30F4">
      <w:pPr>
        <w:ind w:left="360" w:hanging="360"/>
      </w:pPr>
      <w:r>
        <w:t>Full-sized numerals; numerals followed by a period; notes indented .25”; single-spaced throughout.</w:t>
      </w:r>
    </w:p>
    <w:p w14:paraId="0F3D94AA" w14:textId="77777777" w:rsidR="007A2F49" w:rsidRDefault="007A2F49">
      <w:pPr>
        <w:ind w:left="360" w:hanging="360"/>
      </w:pPr>
    </w:p>
    <w:tbl>
      <w:tblPr>
        <w:tblStyle w:val="a"/>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A2F49" w14:paraId="0F3D94B1" w14:textId="77777777">
        <w:tc>
          <w:tcPr>
            <w:tcW w:w="10800" w:type="dxa"/>
            <w:tcMar>
              <w:top w:w="100" w:type="dxa"/>
              <w:left w:w="100" w:type="dxa"/>
              <w:bottom w:w="100" w:type="dxa"/>
              <w:right w:w="100" w:type="dxa"/>
            </w:tcMar>
          </w:tcPr>
          <w:p w14:paraId="0F3D94AB" w14:textId="77777777" w:rsidR="007A2F49" w:rsidRDefault="00CB30F4">
            <w:pPr>
              <w:widowControl w:val="0"/>
              <w:spacing w:line="240" w:lineRule="auto"/>
              <w:ind w:left="720"/>
              <w:rPr>
                <w:vertAlign w:val="superscript"/>
              </w:rPr>
            </w:pPr>
            <w:r>
              <w:t>Schwartz explains this in detail in his text, putting emphasis on how globalization creates discontentment in populations.</w:t>
            </w:r>
            <w:r>
              <w:rPr>
                <w:vertAlign w:val="superscript"/>
              </w:rPr>
              <w:t>4</w:t>
            </w:r>
          </w:p>
          <w:p w14:paraId="0F3D94AC" w14:textId="77777777" w:rsidR="007A2F49" w:rsidRDefault="007A2F49">
            <w:pPr>
              <w:widowControl w:val="0"/>
              <w:spacing w:line="240" w:lineRule="auto"/>
              <w:ind w:left="720"/>
              <w:rPr>
                <w:vertAlign w:val="superscript"/>
              </w:rPr>
            </w:pPr>
          </w:p>
          <w:p w14:paraId="0F3D94AD" w14:textId="77777777" w:rsidR="007A2F49" w:rsidRDefault="00CB30F4">
            <w:pPr>
              <w:widowControl w:val="0"/>
              <w:spacing w:line="240" w:lineRule="auto"/>
              <w:ind w:left="630" w:firstLine="360"/>
            </w:pPr>
            <w:r>
              <w:t xml:space="preserve">1. Morley, </w:t>
            </w:r>
            <w:r>
              <w:rPr>
                <w:i/>
              </w:rPr>
              <w:t xml:space="preserve">Poverty and Inequality, </w:t>
            </w:r>
            <w:r>
              <w:t>24–25.</w:t>
            </w:r>
          </w:p>
          <w:p w14:paraId="0F3D94AE" w14:textId="77777777" w:rsidR="007A2F49" w:rsidRDefault="00CB30F4">
            <w:pPr>
              <w:pBdr>
                <w:top w:val="none" w:sz="0" w:space="3" w:color="auto"/>
                <w:right w:val="none" w:sz="0" w:space="3" w:color="auto"/>
              </w:pBdr>
              <w:shd w:val="clear" w:color="auto" w:fill="FFFFFF"/>
              <w:spacing w:after="60"/>
              <w:ind w:left="720" w:firstLine="300"/>
            </w:pPr>
            <w:r>
              <w:t>2. Schwartz, “Nationals and Nationalism,” 131–32.</w:t>
            </w:r>
          </w:p>
          <w:p w14:paraId="0F3D94AF" w14:textId="77777777" w:rsidR="007A2F49" w:rsidRDefault="00CB30F4">
            <w:pPr>
              <w:pBdr>
                <w:top w:val="none" w:sz="0" w:space="3" w:color="auto"/>
                <w:right w:val="none" w:sz="0" w:space="3" w:color="auto"/>
              </w:pBdr>
              <w:shd w:val="clear" w:color="auto" w:fill="FFFFFF"/>
              <w:spacing w:after="60"/>
              <w:ind w:left="720" w:firstLine="300"/>
            </w:pPr>
            <w:r>
              <w:t xml:space="preserve">3. Morley, </w:t>
            </w:r>
            <w:r>
              <w:rPr>
                <w:i/>
              </w:rPr>
              <w:t>Poverty and Inequality</w:t>
            </w:r>
            <w:r>
              <w:t>, 43.</w:t>
            </w:r>
          </w:p>
          <w:p w14:paraId="0F3D94B0" w14:textId="77777777" w:rsidR="007A2F49" w:rsidRDefault="00CB30F4">
            <w:pPr>
              <w:pBdr>
                <w:top w:val="none" w:sz="0" w:space="3" w:color="auto"/>
                <w:right w:val="none" w:sz="0" w:space="3" w:color="auto"/>
              </w:pBdr>
              <w:shd w:val="clear" w:color="auto" w:fill="FFFFFF"/>
              <w:spacing w:after="60"/>
              <w:ind w:left="720" w:firstLine="300"/>
              <w:rPr>
                <w:sz w:val="18"/>
                <w:szCs w:val="18"/>
              </w:rPr>
            </w:pPr>
            <w:r>
              <w:t>4. Schwartz, “Nationals and Nationalism,” 138.</w:t>
            </w:r>
          </w:p>
        </w:tc>
      </w:tr>
    </w:tbl>
    <w:p w14:paraId="0F3D94B2" w14:textId="77777777" w:rsidR="007A2F49" w:rsidRDefault="007A2F49">
      <w:pPr>
        <w:ind w:firstLine="720"/>
      </w:pPr>
    </w:p>
    <w:p w14:paraId="4E2523D5" w14:textId="77777777" w:rsidR="00CB30F4" w:rsidRDefault="00CB30F4">
      <w:pPr>
        <w:ind w:left="450" w:hanging="450"/>
        <w:rPr>
          <w:b/>
        </w:rPr>
      </w:pPr>
    </w:p>
    <w:p w14:paraId="05F1BB5A" w14:textId="77777777" w:rsidR="00CB30F4" w:rsidRDefault="00CB30F4">
      <w:pPr>
        <w:ind w:left="450" w:hanging="450"/>
        <w:rPr>
          <w:b/>
        </w:rPr>
      </w:pPr>
    </w:p>
    <w:p w14:paraId="7CD12C51" w14:textId="77777777" w:rsidR="00CB30F4" w:rsidRDefault="00CB30F4">
      <w:pPr>
        <w:ind w:left="450" w:hanging="450"/>
        <w:rPr>
          <w:b/>
        </w:rPr>
      </w:pPr>
    </w:p>
    <w:p w14:paraId="4779967E" w14:textId="77777777" w:rsidR="00CB30F4" w:rsidRDefault="00CB30F4">
      <w:pPr>
        <w:ind w:left="450" w:hanging="450"/>
        <w:rPr>
          <w:b/>
        </w:rPr>
      </w:pPr>
    </w:p>
    <w:p w14:paraId="0F3D94B3" w14:textId="6CEFD2DF" w:rsidR="007A2F49" w:rsidRDefault="00CB30F4">
      <w:pPr>
        <w:ind w:left="450" w:hanging="450"/>
      </w:pPr>
      <w:r>
        <w:rPr>
          <w:b/>
        </w:rPr>
        <w:lastRenderedPageBreak/>
        <w:t>CU Denver Graduate School Format Guidelines</w:t>
      </w:r>
    </w:p>
    <w:p w14:paraId="0F3D94B4" w14:textId="77777777" w:rsidR="007A2F49" w:rsidRDefault="00CB30F4">
      <w:pPr>
        <w:ind w:left="450" w:hanging="450"/>
      </w:pPr>
      <w:r>
        <w:t>Notes not indented; numerals superscript, numerals not followed by a period; extra line between entries.</w:t>
      </w:r>
    </w:p>
    <w:p w14:paraId="0F3D94B5" w14:textId="77777777" w:rsidR="007A2F49" w:rsidRDefault="007A2F49">
      <w:pPr>
        <w:ind w:left="450" w:hanging="450"/>
      </w:pPr>
    </w:p>
    <w:tbl>
      <w:tblPr>
        <w:tblStyle w:val="a0"/>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A2F49" w14:paraId="0F3D94BF" w14:textId="77777777">
        <w:tc>
          <w:tcPr>
            <w:tcW w:w="10800" w:type="dxa"/>
            <w:tcMar>
              <w:top w:w="100" w:type="dxa"/>
              <w:left w:w="100" w:type="dxa"/>
              <w:bottom w:w="100" w:type="dxa"/>
              <w:right w:w="100" w:type="dxa"/>
            </w:tcMar>
          </w:tcPr>
          <w:p w14:paraId="0F3D94B6" w14:textId="77777777" w:rsidR="007A2F49" w:rsidRDefault="00CB30F4">
            <w:pPr>
              <w:widowControl w:val="0"/>
              <w:spacing w:line="240" w:lineRule="auto"/>
              <w:ind w:left="720"/>
              <w:rPr>
                <w:vertAlign w:val="superscript"/>
              </w:rPr>
            </w:pPr>
            <w:r>
              <w:t>Schwartz explains this in detail in his text, putting emphasis on how globalization creates discontentment in populations.</w:t>
            </w:r>
            <w:r>
              <w:rPr>
                <w:vertAlign w:val="superscript"/>
              </w:rPr>
              <w:t>4</w:t>
            </w:r>
          </w:p>
          <w:p w14:paraId="0F3D94B7" w14:textId="77777777" w:rsidR="007A2F49" w:rsidRDefault="007A2F49">
            <w:pPr>
              <w:widowControl w:val="0"/>
              <w:spacing w:line="240" w:lineRule="auto"/>
              <w:ind w:left="720"/>
              <w:rPr>
                <w:vertAlign w:val="superscript"/>
              </w:rPr>
            </w:pPr>
          </w:p>
          <w:p w14:paraId="0F3D94B8" w14:textId="77777777" w:rsidR="007A2F49" w:rsidRDefault="00CB30F4">
            <w:pPr>
              <w:widowControl w:val="0"/>
              <w:spacing w:line="240" w:lineRule="auto"/>
              <w:ind w:left="630"/>
            </w:pPr>
            <w:r>
              <w:rPr>
                <w:vertAlign w:val="superscript"/>
              </w:rPr>
              <w:t>1</w:t>
            </w:r>
            <w:r>
              <w:t xml:space="preserve"> Morley, </w:t>
            </w:r>
            <w:r>
              <w:rPr>
                <w:i/>
              </w:rPr>
              <w:t xml:space="preserve">Poverty and Inequality, </w:t>
            </w:r>
            <w:r>
              <w:t>24–25.</w:t>
            </w:r>
          </w:p>
          <w:p w14:paraId="0F3D94B9" w14:textId="77777777" w:rsidR="007A2F49" w:rsidRDefault="007A2F49">
            <w:pPr>
              <w:widowControl w:val="0"/>
              <w:spacing w:line="240" w:lineRule="auto"/>
              <w:ind w:left="630"/>
            </w:pPr>
          </w:p>
          <w:p w14:paraId="0F3D94BA" w14:textId="77777777" w:rsidR="007A2F49" w:rsidRDefault="00CB30F4">
            <w:pPr>
              <w:widowControl w:val="0"/>
              <w:spacing w:line="240" w:lineRule="auto"/>
              <w:ind w:left="630"/>
            </w:pPr>
            <w:r>
              <w:rPr>
                <w:vertAlign w:val="superscript"/>
              </w:rPr>
              <w:t>2</w:t>
            </w:r>
            <w:r>
              <w:t xml:space="preserve"> Schwartz, “Nationals and Nationalism,” 131–32.</w:t>
            </w:r>
          </w:p>
          <w:p w14:paraId="0F3D94BB" w14:textId="77777777" w:rsidR="007A2F49" w:rsidRDefault="007A2F49">
            <w:pPr>
              <w:widowControl w:val="0"/>
              <w:spacing w:line="240" w:lineRule="auto"/>
              <w:ind w:left="630"/>
            </w:pPr>
          </w:p>
          <w:p w14:paraId="0F3D94BC" w14:textId="77777777" w:rsidR="007A2F49" w:rsidRDefault="00CB30F4">
            <w:pPr>
              <w:widowControl w:val="0"/>
              <w:spacing w:line="240" w:lineRule="auto"/>
              <w:ind w:left="630"/>
            </w:pPr>
            <w:r>
              <w:rPr>
                <w:vertAlign w:val="superscript"/>
              </w:rPr>
              <w:t>3</w:t>
            </w:r>
            <w:r>
              <w:t xml:space="preserve"> Morley, </w:t>
            </w:r>
            <w:r>
              <w:rPr>
                <w:i/>
              </w:rPr>
              <w:t>Poverty and Inequality</w:t>
            </w:r>
            <w:r>
              <w:t>, 43.</w:t>
            </w:r>
          </w:p>
          <w:p w14:paraId="0F3D94BD" w14:textId="77777777" w:rsidR="007A2F49" w:rsidRDefault="007A2F49">
            <w:pPr>
              <w:widowControl w:val="0"/>
              <w:spacing w:line="240" w:lineRule="auto"/>
              <w:ind w:left="630"/>
            </w:pPr>
          </w:p>
          <w:p w14:paraId="0F3D94BE" w14:textId="77777777" w:rsidR="007A2F49" w:rsidRDefault="00CB30F4">
            <w:pPr>
              <w:widowControl w:val="0"/>
              <w:spacing w:line="240" w:lineRule="auto"/>
              <w:ind w:left="630"/>
            </w:pPr>
            <w:r>
              <w:rPr>
                <w:vertAlign w:val="superscript"/>
              </w:rPr>
              <w:t>4</w:t>
            </w:r>
            <w:r>
              <w:t xml:space="preserve"> Schwartz, “Nationals and Nationalism,” 138.</w:t>
            </w:r>
          </w:p>
        </w:tc>
      </w:tr>
    </w:tbl>
    <w:p w14:paraId="0F3D94C0" w14:textId="77777777" w:rsidR="007A2F49" w:rsidRDefault="00CB30F4">
      <w:pPr>
        <w:pStyle w:val="Heading3"/>
      </w:pPr>
      <w:bookmarkStart w:id="3" w:name="_ebqpvlz1cvfv" w:colFirst="0" w:colLast="0"/>
      <w:bookmarkEnd w:id="3"/>
      <w:r>
        <w:t>Endnotes</w:t>
      </w:r>
    </w:p>
    <w:p w14:paraId="0F3D94C1" w14:textId="77777777" w:rsidR="007A2F49" w:rsidRDefault="00CB30F4">
      <w:r>
        <w:t>Endnotes appear in a numbered list all together in a section at the end of the paper (before the bibliography).</w:t>
      </w:r>
    </w:p>
    <w:p w14:paraId="0F3D94C2" w14:textId="77777777" w:rsidR="007A2F49" w:rsidRDefault="007A2F49">
      <w:pPr>
        <w:ind w:firstLine="720"/>
      </w:pPr>
    </w:p>
    <w:tbl>
      <w:tblPr>
        <w:tblStyle w:val="a1"/>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A2F49" w14:paraId="0F3D94C9" w14:textId="77777777">
        <w:tc>
          <w:tcPr>
            <w:tcW w:w="10800" w:type="dxa"/>
            <w:tcMar>
              <w:top w:w="100" w:type="dxa"/>
              <w:left w:w="100" w:type="dxa"/>
              <w:bottom w:w="100" w:type="dxa"/>
              <w:right w:w="100" w:type="dxa"/>
            </w:tcMar>
          </w:tcPr>
          <w:p w14:paraId="0F3D94C3" w14:textId="77777777" w:rsidR="007A2F49" w:rsidRDefault="00CB30F4">
            <w:pPr>
              <w:widowControl w:val="0"/>
              <w:spacing w:line="240" w:lineRule="auto"/>
              <w:jc w:val="center"/>
              <w:rPr>
                <w:b/>
              </w:rPr>
            </w:pPr>
            <w:r>
              <w:rPr>
                <w:b/>
              </w:rPr>
              <w:t>Endnotes</w:t>
            </w:r>
          </w:p>
          <w:p w14:paraId="0F3D94C4" w14:textId="77777777" w:rsidR="007A2F49" w:rsidRDefault="007A2F49">
            <w:pPr>
              <w:ind w:left="519"/>
            </w:pPr>
          </w:p>
          <w:p w14:paraId="0F3D94C5" w14:textId="77777777" w:rsidR="007A2F49" w:rsidRDefault="00CB30F4">
            <w:r>
              <w:t xml:space="preserve">1. Morley, </w:t>
            </w:r>
            <w:r>
              <w:rPr>
                <w:i/>
              </w:rPr>
              <w:t xml:space="preserve">Poverty and Inequality, </w:t>
            </w:r>
            <w:r>
              <w:t>24–25.</w:t>
            </w:r>
          </w:p>
          <w:p w14:paraId="0F3D94C6" w14:textId="77777777" w:rsidR="007A2F49" w:rsidRDefault="00CB30F4">
            <w:pPr>
              <w:pBdr>
                <w:top w:val="none" w:sz="0" w:space="3" w:color="auto"/>
                <w:right w:val="none" w:sz="0" w:space="3" w:color="auto"/>
              </w:pBdr>
              <w:shd w:val="clear" w:color="auto" w:fill="FFFFFF"/>
              <w:spacing w:after="60"/>
            </w:pPr>
            <w:r>
              <w:t>2. Schwartz, “Nationals and Nationalism,” 131–32.</w:t>
            </w:r>
          </w:p>
          <w:p w14:paraId="0F3D94C7" w14:textId="77777777" w:rsidR="007A2F49" w:rsidRDefault="00CB30F4">
            <w:pPr>
              <w:pBdr>
                <w:top w:val="none" w:sz="0" w:space="3" w:color="auto"/>
                <w:right w:val="none" w:sz="0" w:space="3" w:color="auto"/>
              </w:pBdr>
              <w:shd w:val="clear" w:color="auto" w:fill="FFFFFF"/>
              <w:spacing w:after="60"/>
            </w:pPr>
            <w:r>
              <w:t xml:space="preserve">3. Morley, </w:t>
            </w:r>
            <w:r>
              <w:rPr>
                <w:i/>
              </w:rPr>
              <w:t>Poverty and Inequality</w:t>
            </w:r>
            <w:r>
              <w:t>, 43.</w:t>
            </w:r>
          </w:p>
          <w:p w14:paraId="0F3D94C8" w14:textId="77777777" w:rsidR="007A2F49" w:rsidRDefault="00CB30F4">
            <w:pPr>
              <w:pBdr>
                <w:top w:val="none" w:sz="0" w:space="3" w:color="auto"/>
                <w:right w:val="none" w:sz="0" w:space="3" w:color="auto"/>
              </w:pBdr>
              <w:shd w:val="clear" w:color="auto" w:fill="FFFFFF"/>
              <w:spacing w:after="60"/>
              <w:rPr>
                <w:highlight w:val="yellow"/>
              </w:rPr>
            </w:pPr>
            <w:r>
              <w:t>4. Schwartz, “Nationals and Nationalism,” 138.</w:t>
            </w:r>
          </w:p>
        </w:tc>
      </w:tr>
    </w:tbl>
    <w:p w14:paraId="0F3D94CA" w14:textId="77777777" w:rsidR="007A2F49" w:rsidRDefault="007A2F49"/>
    <w:p w14:paraId="0F3D94CB" w14:textId="77777777" w:rsidR="007A2F49" w:rsidRDefault="00CB30F4">
      <w:r>
        <w:t>In the past, CMS used a system including “initial notes” and “short notes.” The first time a source was cited, more information was required for each note, and subsequent times, less information could be included. In the 17th edition, CMS did away with initial/short notes as well as Ibid.</w:t>
      </w:r>
    </w:p>
    <w:p w14:paraId="0F3D94CC" w14:textId="77777777" w:rsidR="007A2F49" w:rsidRDefault="00CB30F4">
      <w:pPr>
        <w:pStyle w:val="Heading2"/>
        <w:rPr>
          <w:sz w:val="24"/>
          <w:szCs w:val="24"/>
        </w:rPr>
      </w:pPr>
      <w:bookmarkStart w:id="4" w:name="_9xb76mocutia" w:colFirst="0" w:colLast="0"/>
      <w:bookmarkEnd w:id="4"/>
      <w:r>
        <w:t>Bibliography</w:t>
      </w:r>
    </w:p>
    <w:p w14:paraId="0F3D94CD" w14:textId="77777777" w:rsidR="007A2F49" w:rsidRDefault="00CB30F4">
      <w:pPr>
        <w:rPr>
          <w:sz w:val="24"/>
          <w:szCs w:val="24"/>
        </w:rPr>
      </w:pPr>
      <w:r>
        <w:t>The Bibliography will appear at the end of a document, before the index, in its own section. List sources alphabetically by the first author’s last name and use a hanging indent. Exclude personal communications like interviews or lectures, unless asked to do so by your professor.</w:t>
      </w:r>
    </w:p>
    <w:p w14:paraId="0F3D94CE" w14:textId="77777777" w:rsidR="007A2F49" w:rsidRDefault="007A2F49">
      <w:pPr>
        <w:rPr>
          <w:sz w:val="24"/>
          <w:szCs w:val="24"/>
        </w:rPr>
      </w:pPr>
    </w:p>
    <w:tbl>
      <w:tblPr>
        <w:tblStyle w:val="a2"/>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A2F49" w14:paraId="0F3D94D6" w14:textId="77777777">
        <w:tc>
          <w:tcPr>
            <w:tcW w:w="10800" w:type="dxa"/>
            <w:tcMar>
              <w:top w:w="100" w:type="dxa"/>
              <w:left w:w="100" w:type="dxa"/>
              <w:bottom w:w="100" w:type="dxa"/>
              <w:right w:w="100" w:type="dxa"/>
            </w:tcMar>
          </w:tcPr>
          <w:p w14:paraId="0F3D94CF" w14:textId="77777777" w:rsidR="007A2F49" w:rsidRDefault="007A2F49">
            <w:pPr>
              <w:widowControl w:val="0"/>
              <w:spacing w:line="240" w:lineRule="auto"/>
            </w:pPr>
          </w:p>
          <w:p w14:paraId="0F3D94D0" w14:textId="77777777" w:rsidR="007A2F49" w:rsidRDefault="00CB30F4">
            <w:pPr>
              <w:widowControl w:val="0"/>
              <w:spacing w:line="240" w:lineRule="auto"/>
              <w:ind w:left="9360"/>
            </w:pPr>
            <w:r>
              <w:t>Smith 8</w:t>
            </w:r>
          </w:p>
          <w:p w14:paraId="0F3D94D1" w14:textId="77777777" w:rsidR="007A2F49" w:rsidRDefault="00CB30F4">
            <w:pPr>
              <w:widowControl w:val="0"/>
              <w:spacing w:line="240" w:lineRule="auto"/>
              <w:jc w:val="center"/>
              <w:rPr>
                <w:b/>
              </w:rPr>
            </w:pPr>
            <w:r>
              <w:rPr>
                <w:b/>
              </w:rPr>
              <w:t>Bibliography</w:t>
            </w:r>
          </w:p>
          <w:p w14:paraId="0F3D94D2" w14:textId="77777777" w:rsidR="007A2F49" w:rsidRDefault="007A2F49">
            <w:pPr>
              <w:ind w:left="519"/>
            </w:pPr>
          </w:p>
          <w:p w14:paraId="0F3D94D3" w14:textId="77777777" w:rsidR="007A2F49" w:rsidRDefault="00CB30F4">
            <w:pPr>
              <w:ind w:left="1239" w:hanging="519"/>
            </w:pPr>
            <w:r>
              <w:t xml:space="preserve">Denver Dumb Friends League. “Services: Benefiting the Animals and Our Community.” </w:t>
            </w:r>
            <w:r>
              <w:rPr>
                <w:i/>
              </w:rPr>
              <w:t>Denver Dumb Friends League</w:t>
            </w:r>
            <w:r>
              <w:t>. Last modified December 1, 2013. http://www.ddfl.org/services.</w:t>
            </w:r>
          </w:p>
          <w:p w14:paraId="0F3D94D4" w14:textId="77777777" w:rsidR="007A2F49" w:rsidRDefault="00CB30F4">
            <w:pPr>
              <w:ind w:left="1239" w:hanging="519"/>
            </w:pPr>
            <w:r>
              <w:t xml:space="preserve">“Human Rights Abuses in North Korea.” </w:t>
            </w:r>
            <w:r>
              <w:rPr>
                <w:i/>
              </w:rPr>
              <w:t>All Things North Korean</w:t>
            </w:r>
            <w:r>
              <w:t>. Accessed July 1, 2014. http://www.allthingsnk.com/human-rights-abuses-in-north-korea.</w:t>
            </w:r>
          </w:p>
          <w:p w14:paraId="0F3D94D5" w14:textId="77777777" w:rsidR="007A2F49" w:rsidRDefault="00CB30F4">
            <w:pPr>
              <w:ind w:left="1239" w:hanging="519"/>
            </w:pPr>
            <w:r>
              <w:t xml:space="preserve">Stiglitz, Joseph E. </w:t>
            </w:r>
            <w:r>
              <w:rPr>
                <w:i/>
              </w:rPr>
              <w:t xml:space="preserve">Globalization and Its Discontents. </w:t>
            </w:r>
            <w:r>
              <w:t>New York: W.W. Norton &amp; Company, 2003.</w:t>
            </w:r>
          </w:p>
        </w:tc>
      </w:tr>
    </w:tbl>
    <w:p w14:paraId="0F3D94D7" w14:textId="77777777" w:rsidR="007A2F49" w:rsidRDefault="00CB30F4">
      <w:pPr>
        <w:pStyle w:val="Heading2"/>
        <w:ind w:firstLine="720"/>
      </w:pPr>
      <w:bookmarkStart w:id="5" w:name="_t5izp54v8dse" w:colFirst="0" w:colLast="0"/>
      <w:bookmarkEnd w:id="5"/>
      <w:r>
        <w:lastRenderedPageBreak/>
        <w:t>Examples</w:t>
      </w:r>
    </w:p>
    <w:tbl>
      <w:tblPr>
        <w:tblStyle w:val="a3"/>
        <w:tblW w:w="94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365"/>
      </w:tblGrid>
      <w:tr w:rsidR="007A2F49" w14:paraId="0F3D94D9" w14:textId="77777777">
        <w:trPr>
          <w:trHeight w:val="288"/>
          <w:jc w:val="center"/>
        </w:trPr>
        <w:tc>
          <w:tcPr>
            <w:tcW w:w="9420" w:type="dxa"/>
            <w:gridSpan w:val="2"/>
          </w:tcPr>
          <w:p w14:paraId="0F3D94D8" w14:textId="77777777" w:rsidR="007A2F49" w:rsidRDefault="00CB30F4">
            <w:pPr>
              <w:pStyle w:val="Heading3"/>
              <w:jc w:val="center"/>
              <w:rPr>
                <w:b/>
                <w:sz w:val="26"/>
                <w:szCs w:val="26"/>
              </w:rPr>
            </w:pPr>
            <w:bookmarkStart w:id="6" w:name="_in6hxostrysj" w:colFirst="0" w:colLast="0"/>
            <w:bookmarkEnd w:id="6"/>
            <w:r>
              <w:rPr>
                <w:sz w:val="26"/>
                <w:szCs w:val="26"/>
              </w:rPr>
              <w:t>One Author</w:t>
            </w:r>
          </w:p>
        </w:tc>
      </w:tr>
      <w:tr w:rsidR="007A2F49" w14:paraId="0F3D94DC" w14:textId="77777777">
        <w:trPr>
          <w:jc w:val="center"/>
        </w:trPr>
        <w:tc>
          <w:tcPr>
            <w:tcW w:w="2055" w:type="dxa"/>
          </w:tcPr>
          <w:p w14:paraId="0F3D94DA" w14:textId="77777777" w:rsidR="007A2F49" w:rsidRDefault="00CB30F4">
            <w:r>
              <w:t>Note</w:t>
            </w:r>
          </w:p>
        </w:tc>
        <w:tc>
          <w:tcPr>
            <w:tcW w:w="7365" w:type="dxa"/>
          </w:tcPr>
          <w:p w14:paraId="0F3D94DB" w14:textId="77777777" w:rsidR="007A2F49" w:rsidRDefault="00CB30F4">
            <w:r>
              <w:t xml:space="preserve">Stiglitz, </w:t>
            </w:r>
            <w:r>
              <w:rPr>
                <w:i/>
              </w:rPr>
              <w:t xml:space="preserve">Globalization and Its Discontents, </w:t>
            </w:r>
            <w:r>
              <w:t>160.</w:t>
            </w:r>
          </w:p>
        </w:tc>
      </w:tr>
      <w:tr w:rsidR="007A2F49" w14:paraId="0F3D94DF" w14:textId="77777777">
        <w:trPr>
          <w:jc w:val="center"/>
        </w:trPr>
        <w:tc>
          <w:tcPr>
            <w:tcW w:w="2055" w:type="dxa"/>
          </w:tcPr>
          <w:p w14:paraId="0F3D94DD" w14:textId="77777777" w:rsidR="007A2F49" w:rsidRDefault="00CB30F4">
            <w:r>
              <w:t>Bibliographic entry</w:t>
            </w:r>
          </w:p>
        </w:tc>
        <w:tc>
          <w:tcPr>
            <w:tcW w:w="7365" w:type="dxa"/>
          </w:tcPr>
          <w:p w14:paraId="0F3D94DE" w14:textId="77777777" w:rsidR="007A2F49" w:rsidRDefault="00CB30F4">
            <w:pPr>
              <w:ind w:left="519" w:hanging="519"/>
            </w:pPr>
            <w:r>
              <w:t xml:space="preserve">Stiglitz, Joseph E. </w:t>
            </w:r>
            <w:r>
              <w:rPr>
                <w:i/>
              </w:rPr>
              <w:t xml:space="preserve">Globalization and Its Discontents. </w:t>
            </w:r>
            <w:r>
              <w:t>New York: W.W. Norton &amp; Company, 2003.</w:t>
            </w:r>
          </w:p>
        </w:tc>
      </w:tr>
      <w:tr w:rsidR="007A2F49" w14:paraId="0F3D94E1" w14:textId="77777777">
        <w:trPr>
          <w:trHeight w:val="544"/>
          <w:jc w:val="center"/>
        </w:trPr>
        <w:tc>
          <w:tcPr>
            <w:tcW w:w="9420" w:type="dxa"/>
            <w:gridSpan w:val="2"/>
          </w:tcPr>
          <w:p w14:paraId="0F3D94E0" w14:textId="77777777" w:rsidR="007A2F49" w:rsidRDefault="00CB30F4">
            <w:pPr>
              <w:pStyle w:val="Heading3"/>
              <w:jc w:val="center"/>
              <w:rPr>
                <w:b/>
                <w:sz w:val="26"/>
                <w:szCs w:val="26"/>
              </w:rPr>
            </w:pPr>
            <w:bookmarkStart w:id="7" w:name="_xch63psi495q" w:colFirst="0" w:colLast="0"/>
            <w:bookmarkEnd w:id="7"/>
            <w:r>
              <w:rPr>
                <w:sz w:val="26"/>
                <w:szCs w:val="26"/>
              </w:rPr>
              <w:t>Multiple Authors</w:t>
            </w:r>
          </w:p>
        </w:tc>
      </w:tr>
      <w:tr w:rsidR="007A2F49" w14:paraId="0F3D94E4" w14:textId="77777777">
        <w:trPr>
          <w:jc w:val="center"/>
        </w:trPr>
        <w:tc>
          <w:tcPr>
            <w:tcW w:w="2055" w:type="dxa"/>
          </w:tcPr>
          <w:p w14:paraId="0F3D94E2" w14:textId="77777777" w:rsidR="007A2F49" w:rsidRDefault="00CB30F4">
            <w:r>
              <w:t>Note</w:t>
            </w:r>
          </w:p>
        </w:tc>
        <w:tc>
          <w:tcPr>
            <w:tcW w:w="7365" w:type="dxa"/>
          </w:tcPr>
          <w:p w14:paraId="0F3D94E3" w14:textId="77777777" w:rsidR="007A2F49" w:rsidRDefault="00CB30F4">
            <w:r>
              <w:t xml:space="preserve">Mearsheimer and Walt, </w:t>
            </w:r>
            <w:r>
              <w:rPr>
                <w:i/>
              </w:rPr>
              <w:t>The Israel Lobby</w:t>
            </w:r>
            <w:r>
              <w:t>, 208.</w:t>
            </w:r>
          </w:p>
        </w:tc>
      </w:tr>
      <w:tr w:rsidR="007A2F49" w14:paraId="0F3D94E7" w14:textId="77777777">
        <w:trPr>
          <w:jc w:val="center"/>
        </w:trPr>
        <w:tc>
          <w:tcPr>
            <w:tcW w:w="2055" w:type="dxa"/>
          </w:tcPr>
          <w:p w14:paraId="0F3D94E5" w14:textId="77777777" w:rsidR="007A2F49" w:rsidRDefault="00CB30F4">
            <w:r>
              <w:t>Bibliographic entry</w:t>
            </w:r>
          </w:p>
        </w:tc>
        <w:tc>
          <w:tcPr>
            <w:tcW w:w="7365" w:type="dxa"/>
          </w:tcPr>
          <w:p w14:paraId="0F3D94E6" w14:textId="77777777" w:rsidR="007A2F49" w:rsidRDefault="00CB30F4">
            <w:pPr>
              <w:ind w:left="519" w:hanging="519"/>
            </w:pPr>
            <w:r>
              <w:t xml:space="preserve">Mearsheimer, John J. and Stephen M. Walt. </w:t>
            </w:r>
            <w:r>
              <w:rPr>
                <w:i/>
              </w:rPr>
              <w:t xml:space="preserve">The Israel Lobby and U.S. Foreign Policy. </w:t>
            </w:r>
            <w:r>
              <w:t>New York: Farrar, Straus and Giroux, 2007.</w:t>
            </w:r>
          </w:p>
        </w:tc>
      </w:tr>
      <w:tr w:rsidR="007A2F49" w14:paraId="0F3D94E9" w14:textId="77777777">
        <w:trPr>
          <w:jc w:val="center"/>
        </w:trPr>
        <w:tc>
          <w:tcPr>
            <w:tcW w:w="9420" w:type="dxa"/>
            <w:gridSpan w:val="2"/>
            <w:tcBorders>
              <w:left w:val="nil"/>
              <w:right w:val="nil"/>
            </w:tcBorders>
          </w:tcPr>
          <w:p w14:paraId="0F3D94E8" w14:textId="77777777" w:rsidR="007A2F49" w:rsidRDefault="007A2F49">
            <w:pPr>
              <w:rPr>
                <w:sz w:val="24"/>
                <w:szCs w:val="24"/>
              </w:rPr>
            </w:pPr>
          </w:p>
        </w:tc>
      </w:tr>
      <w:tr w:rsidR="007A2F49" w14:paraId="0F3D94EB" w14:textId="77777777">
        <w:trPr>
          <w:trHeight w:val="240"/>
          <w:jc w:val="center"/>
        </w:trPr>
        <w:tc>
          <w:tcPr>
            <w:tcW w:w="9420" w:type="dxa"/>
            <w:gridSpan w:val="2"/>
          </w:tcPr>
          <w:p w14:paraId="0F3D94EA" w14:textId="77777777" w:rsidR="007A2F49" w:rsidRDefault="00CB30F4">
            <w:pPr>
              <w:pStyle w:val="Heading3"/>
              <w:jc w:val="center"/>
              <w:rPr>
                <w:b/>
                <w:sz w:val="26"/>
                <w:szCs w:val="26"/>
              </w:rPr>
            </w:pPr>
            <w:bookmarkStart w:id="8" w:name="_srktvjivo8qx" w:colFirst="0" w:colLast="0"/>
            <w:bookmarkEnd w:id="8"/>
            <w:r>
              <w:rPr>
                <w:sz w:val="26"/>
                <w:szCs w:val="26"/>
              </w:rPr>
              <w:t>Article/Chapter/Essay from an Edited Collection</w:t>
            </w:r>
          </w:p>
        </w:tc>
      </w:tr>
      <w:tr w:rsidR="007A2F49" w14:paraId="0F3D94EE" w14:textId="77777777">
        <w:trPr>
          <w:jc w:val="center"/>
        </w:trPr>
        <w:tc>
          <w:tcPr>
            <w:tcW w:w="2055" w:type="dxa"/>
          </w:tcPr>
          <w:p w14:paraId="0F3D94EC" w14:textId="77777777" w:rsidR="007A2F49" w:rsidRDefault="00CB30F4">
            <w:r>
              <w:t>Note</w:t>
            </w:r>
          </w:p>
        </w:tc>
        <w:tc>
          <w:tcPr>
            <w:tcW w:w="7365" w:type="dxa"/>
          </w:tcPr>
          <w:p w14:paraId="0F3D94ED" w14:textId="77777777" w:rsidR="007A2F49" w:rsidRDefault="00CB30F4">
            <w:pPr>
              <w:ind w:left="72"/>
            </w:pPr>
            <w:r>
              <w:t>Friedman, “The Character of Economics,” 329.</w:t>
            </w:r>
          </w:p>
        </w:tc>
      </w:tr>
      <w:tr w:rsidR="007A2F49" w14:paraId="0F3D94F1" w14:textId="77777777">
        <w:trPr>
          <w:jc w:val="center"/>
        </w:trPr>
        <w:tc>
          <w:tcPr>
            <w:tcW w:w="2055" w:type="dxa"/>
          </w:tcPr>
          <w:p w14:paraId="0F3D94EF" w14:textId="77777777" w:rsidR="007A2F49" w:rsidRDefault="00CB30F4">
            <w:r>
              <w:t>Bibliographic entry</w:t>
            </w:r>
          </w:p>
        </w:tc>
        <w:tc>
          <w:tcPr>
            <w:tcW w:w="7365" w:type="dxa"/>
          </w:tcPr>
          <w:p w14:paraId="0F3D94F0" w14:textId="77777777" w:rsidR="007A2F49" w:rsidRDefault="00CB30F4">
            <w:pPr>
              <w:ind w:left="519" w:hanging="447"/>
            </w:pPr>
            <w:r>
              <w:t xml:space="preserve">Friedman, Thomas L. “The Character of Economic Globalization.” In </w:t>
            </w:r>
            <w:r>
              <w:rPr>
                <w:i/>
              </w:rPr>
              <w:t xml:space="preserve">The Politics of Globalization: A Reader, </w:t>
            </w:r>
            <w:r>
              <w:t>edited by Mark Kesselman, 325-350. Boston: Houghton Mifflin Company, 2006.</w:t>
            </w:r>
          </w:p>
        </w:tc>
      </w:tr>
      <w:tr w:rsidR="007A2F49" w14:paraId="0F3D94F3" w14:textId="77777777">
        <w:trPr>
          <w:trHeight w:val="240"/>
          <w:jc w:val="center"/>
        </w:trPr>
        <w:tc>
          <w:tcPr>
            <w:tcW w:w="9420" w:type="dxa"/>
            <w:gridSpan w:val="2"/>
          </w:tcPr>
          <w:p w14:paraId="0F3D94F2" w14:textId="77777777" w:rsidR="007A2F49" w:rsidRDefault="00CB30F4">
            <w:pPr>
              <w:pStyle w:val="Heading3"/>
              <w:jc w:val="center"/>
              <w:rPr>
                <w:b/>
                <w:i/>
                <w:sz w:val="26"/>
                <w:szCs w:val="26"/>
                <w:u w:val="single"/>
              </w:rPr>
            </w:pPr>
            <w:bookmarkStart w:id="9" w:name="_f6fy6acoj7fo" w:colFirst="0" w:colLast="0"/>
            <w:bookmarkEnd w:id="9"/>
            <w:r>
              <w:rPr>
                <w:sz w:val="26"/>
                <w:szCs w:val="26"/>
              </w:rPr>
              <w:t>Scholarly Journal article</w:t>
            </w:r>
          </w:p>
        </w:tc>
      </w:tr>
      <w:tr w:rsidR="007A2F49" w14:paraId="0F3D94F6" w14:textId="77777777">
        <w:trPr>
          <w:jc w:val="center"/>
        </w:trPr>
        <w:tc>
          <w:tcPr>
            <w:tcW w:w="2055" w:type="dxa"/>
          </w:tcPr>
          <w:p w14:paraId="0F3D94F4" w14:textId="77777777" w:rsidR="007A2F49" w:rsidRDefault="00CB30F4">
            <w:r>
              <w:t>Note</w:t>
            </w:r>
          </w:p>
        </w:tc>
        <w:tc>
          <w:tcPr>
            <w:tcW w:w="7365" w:type="dxa"/>
          </w:tcPr>
          <w:p w14:paraId="0F3D94F5" w14:textId="77777777" w:rsidR="007A2F49" w:rsidRDefault="00CB30F4">
            <w:r>
              <w:t>Kang, “Democracy and Human Rights Education,” 324.</w:t>
            </w:r>
          </w:p>
        </w:tc>
      </w:tr>
      <w:tr w:rsidR="007A2F49" w14:paraId="0F3D94F9" w14:textId="77777777">
        <w:trPr>
          <w:jc w:val="center"/>
        </w:trPr>
        <w:tc>
          <w:tcPr>
            <w:tcW w:w="2055" w:type="dxa"/>
          </w:tcPr>
          <w:p w14:paraId="0F3D94F7" w14:textId="77777777" w:rsidR="007A2F49" w:rsidRDefault="00CB30F4">
            <w:r>
              <w:t>Bibliographic entry</w:t>
            </w:r>
          </w:p>
        </w:tc>
        <w:tc>
          <w:tcPr>
            <w:tcW w:w="7365" w:type="dxa"/>
          </w:tcPr>
          <w:p w14:paraId="0F3D94F8" w14:textId="77777777" w:rsidR="007A2F49" w:rsidRDefault="00CB30F4">
            <w:pPr>
              <w:ind w:left="519" w:hanging="519"/>
            </w:pPr>
            <w:r>
              <w:t xml:space="preserve">Kang, </w:t>
            </w:r>
            <w:proofErr w:type="gramStart"/>
            <w:r>
              <w:t>Soon-Won</w:t>
            </w:r>
            <w:proofErr w:type="gramEnd"/>
            <w:r>
              <w:t xml:space="preserve">. “Democracy and Human Rights Education in South Korea.” </w:t>
            </w:r>
            <w:r>
              <w:rPr>
                <w:i/>
              </w:rPr>
              <w:t>Comparative Education</w:t>
            </w:r>
            <w:r>
              <w:t xml:space="preserve"> 38, no. 3 (2002): 315-325.</w:t>
            </w:r>
          </w:p>
        </w:tc>
      </w:tr>
      <w:tr w:rsidR="007A2F49" w14:paraId="0F3D94FB" w14:textId="77777777">
        <w:trPr>
          <w:trHeight w:val="240"/>
          <w:jc w:val="center"/>
        </w:trPr>
        <w:tc>
          <w:tcPr>
            <w:tcW w:w="9420" w:type="dxa"/>
            <w:gridSpan w:val="2"/>
          </w:tcPr>
          <w:p w14:paraId="0F3D94FA" w14:textId="77777777" w:rsidR="007A2F49" w:rsidRDefault="00CB30F4">
            <w:pPr>
              <w:pStyle w:val="Heading3"/>
              <w:jc w:val="center"/>
              <w:rPr>
                <w:b/>
                <w:i/>
                <w:sz w:val="26"/>
                <w:szCs w:val="26"/>
                <w:u w:val="single"/>
              </w:rPr>
            </w:pPr>
            <w:bookmarkStart w:id="10" w:name="_rsmt8ou02k1o" w:colFirst="0" w:colLast="0"/>
            <w:bookmarkEnd w:id="10"/>
            <w:r>
              <w:rPr>
                <w:sz w:val="26"/>
                <w:szCs w:val="26"/>
              </w:rPr>
              <w:t>Online Magazine</w:t>
            </w:r>
          </w:p>
        </w:tc>
      </w:tr>
      <w:tr w:rsidR="007A2F49" w14:paraId="0F3D94FE" w14:textId="77777777">
        <w:trPr>
          <w:jc w:val="center"/>
        </w:trPr>
        <w:tc>
          <w:tcPr>
            <w:tcW w:w="2055" w:type="dxa"/>
          </w:tcPr>
          <w:p w14:paraId="0F3D94FC" w14:textId="77777777" w:rsidR="007A2F49" w:rsidRDefault="00CB30F4">
            <w:r>
              <w:t>Note</w:t>
            </w:r>
          </w:p>
        </w:tc>
        <w:tc>
          <w:tcPr>
            <w:tcW w:w="7365" w:type="dxa"/>
          </w:tcPr>
          <w:p w14:paraId="0F3D94FD" w14:textId="77777777" w:rsidR="007A2F49" w:rsidRDefault="00CB30F4">
            <w:r>
              <w:t>Weigel, “When You’ve Lost Jon.”</w:t>
            </w:r>
          </w:p>
        </w:tc>
      </w:tr>
      <w:tr w:rsidR="007A2F49" w14:paraId="0F3D9501" w14:textId="77777777">
        <w:trPr>
          <w:jc w:val="center"/>
        </w:trPr>
        <w:tc>
          <w:tcPr>
            <w:tcW w:w="2055" w:type="dxa"/>
          </w:tcPr>
          <w:p w14:paraId="0F3D94FF" w14:textId="77777777" w:rsidR="007A2F49" w:rsidRDefault="00CB30F4">
            <w:r>
              <w:t>Bibliographic entry</w:t>
            </w:r>
          </w:p>
        </w:tc>
        <w:tc>
          <w:tcPr>
            <w:tcW w:w="7365" w:type="dxa"/>
          </w:tcPr>
          <w:p w14:paraId="0F3D9500" w14:textId="77777777" w:rsidR="007A2F49" w:rsidRDefault="00CB30F4">
            <w:pPr>
              <w:ind w:left="519" w:hanging="519"/>
            </w:pPr>
            <w:r>
              <w:t xml:space="preserve">Weigel, David. “When You’ve Lost Jon Stewart, You’ve Lost Middle America.” </w:t>
            </w:r>
            <w:r>
              <w:rPr>
                <w:i/>
              </w:rPr>
              <w:t xml:space="preserve">Slate, </w:t>
            </w:r>
            <w:r>
              <w:t>July 23, 2014. http://www.slate.com/blogs/weigel/2014/07/23/ (July 31, 2014).</w:t>
            </w:r>
          </w:p>
        </w:tc>
      </w:tr>
      <w:tr w:rsidR="007A2F49" w14:paraId="0F3D9503" w14:textId="77777777">
        <w:trPr>
          <w:trHeight w:val="220"/>
          <w:jc w:val="center"/>
        </w:trPr>
        <w:tc>
          <w:tcPr>
            <w:tcW w:w="9420" w:type="dxa"/>
            <w:gridSpan w:val="2"/>
          </w:tcPr>
          <w:p w14:paraId="0F3D9502" w14:textId="77777777" w:rsidR="007A2F49" w:rsidRDefault="00CB30F4">
            <w:r>
              <w:t>When noting an online source, use the same format as you would for a print source, only with the addition of a DOI or URL at the end of the note.</w:t>
            </w:r>
          </w:p>
        </w:tc>
      </w:tr>
      <w:tr w:rsidR="007A2F49" w14:paraId="0F3D9505" w14:textId="77777777">
        <w:trPr>
          <w:trHeight w:val="240"/>
          <w:jc w:val="center"/>
        </w:trPr>
        <w:tc>
          <w:tcPr>
            <w:tcW w:w="9420" w:type="dxa"/>
            <w:gridSpan w:val="2"/>
          </w:tcPr>
          <w:p w14:paraId="0F3D9504" w14:textId="77777777" w:rsidR="007A2F49" w:rsidRDefault="00CB30F4">
            <w:pPr>
              <w:pStyle w:val="Heading3"/>
              <w:jc w:val="center"/>
              <w:rPr>
                <w:b/>
                <w:i/>
                <w:sz w:val="26"/>
                <w:szCs w:val="26"/>
                <w:u w:val="single"/>
              </w:rPr>
            </w:pPr>
            <w:bookmarkStart w:id="11" w:name="_2v49v3r3dgpu" w:colFirst="0" w:colLast="0"/>
            <w:bookmarkEnd w:id="11"/>
            <w:r>
              <w:rPr>
                <w:sz w:val="26"/>
                <w:szCs w:val="26"/>
              </w:rPr>
              <w:t>Webpage with Author and Date</w:t>
            </w:r>
          </w:p>
        </w:tc>
      </w:tr>
      <w:tr w:rsidR="007A2F49" w14:paraId="0F3D9508" w14:textId="77777777">
        <w:trPr>
          <w:jc w:val="center"/>
        </w:trPr>
        <w:tc>
          <w:tcPr>
            <w:tcW w:w="2055" w:type="dxa"/>
          </w:tcPr>
          <w:p w14:paraId="0F3D9506" w14:textId="77777777" w:rsidR="007A2F49" w:rsidRDefault="00CB30F4">
            <w:r>
              <w:t>Note</w:t>
            </w:r>
          </w:p>
        </w:tc>
        <w:tc>
          <w:tcPr>
            <w:tcW w:w="7365" w:type="dxa"/>
          </w:tcPr>
          <w:p w14:paraId="0F3D9507" w14:textId="77777777" w:rsidR="007A2F49" w:rsidRDefault="00CB30F4">
            <w:pPr>
              <w:rPr>
                <w:rFonts w:ascii="Times" w:eastAsia="Times" w:hAnsi="Times" w:cs="Times"/>
              </w:rPr>
            </w:pPr>
            <w:r>
              <w:t>Denver Dumb Friends League, “Services: Benefiting the Animals.”</w:t>
            </w:r>
          </w:p>
        </w:tc>
      </w:tr>
      <w:tr w:rsidR="007A2F49" w14:paraId="0F3D950B" w14:textId="77777777">
        <w:trPr>
          <w:jc w:val="center"/>
        </w:trPr>
        <w:tc>
          <w:tcPr>
            <w:tcW w:w="2055" w:type="dxa"/>
          </w:tcPr>
          <w:p w14:paraId="0F3D9509" w14:textId="77777777" w:rsidR="007A2F49" w:rsidRDefault="00CB30F4">
            <w:r>
              <w:t>Bibliographic entry</w:t>
            </w:r>
          </w:p>
        </w:tc>
        <w:tc>
          <w:tcPr>
            <w:tcW w:w="7365" w:type="dxa"/>
          </w:tcPr>
          <w:p w14:paraId="0F3D950A" w14:textId="77777777" w:rsidR="007A2F49" w:rsidRDefault="00CB30F4">
            <w:pPr>
              <w:ind w:left="519" w:hanging="519"/>
              <w:rPr>
                <w:rFonts w:ascii="Times" w:eastAsia="Times" w:hAnsi="Times" w:cs="Times"/>
              </w:rPr>
            </w:pPr>
            <w:r>
              <w:t xml:space="preserve">Denver Dumb Friends League. “Services: Benefiting the Animals and Our Community.” </w:t>
            </w:r>
            <w:r>
              <w:rPr>
                <w:i/>
              </w:rPr>
              <w:t>Denver Dumb Friends League</w:t>
            </w:r>
            <w:r>
              <w:t>. Last modified December 1, 2013. http://www.ddfl.org/services.</w:t>
            </w:r>
          </w:p>
        </w:tc>
      </w:tr>
      <w:tr w:rsidR="007A2F49" w14:paraId="0F3D950D" w14:textId="77777777">
        <w:trPr>
          <w:trHeight w:val="240"/>
          <w:jc w:val="center"/>
        </w:trPr>
        <w:tc>
          <w:tcPr>
            <w:tcW w:w="9420" w:type="dxa"/>
            <w:gridSpan w:val="2"/>
          </w:tcPr>
          <w:p w14:paraId="0F3D950C" w14:textId="77777777" w:rsidR="007A2F49" w:rsidRDefault="00CB30F4">
            <w:pPr>
              <w:pStyle w:val="Heading3"/>
              <w:jc w:val="center"/>
              <w:rPr>
                <w:b/>
                <w:i/>
                <w:sz w:val="26"/>
                <w:szCs w:val="26"/>
                <w:u w:val="single"/>
              </w:rPr>
            </w:pPr>
            <w:bookmarkStart w:id="12" w:name="_9w3j0g7ahj5w" w:colFirst="0" w:colLast="0"/>
            <w:bookmarkEnd w:id="12"/>
            <w:r>
              <w:rPr>
                <w:sz w:val="26"/>
                <w:szCs w:val="26"/>
              </w:rPr>
              <w:t>Webpage with Date but No Author</w:t>
            </w:r>
          </w:p>
        </w:tc>
      </w:tr>
      <w:tr w:rsidR="007A2F49" w14:paraId="0F3D9510" w14:textId="77777777">
        <w:trPr>
          <w:jc w:val="center"/>
        </w:trPr>
        <w:tc>
          <w:tcPr>
            <w:tcW w:w="2055" w:type="dxa"/>
          </w:tcPr>
          <w:p w14:paraId="0F3D950E" w14:textId="77777777" w:rsidR="007A2F49" w:rsidRDefault="00CB30F4">
            <w:r>
              <w:t>Note</w:t>
            </w:r>
          </w:p>
        </w:tc>
        <w:tc>
          <w:tcPr>
            <w:tcW w:w="7365" w:type="dxa"/>
          </w:tcPr>
          <w:p w14:paraId="0F3D950F" w14:textId="77777777" w:rsidR="007A2F49" w:rsidRDefault="00CB30F4">
            <w:pPr>
              <w:rPr>
                <w:rFonts w:ascii="Times" w:eastAsia="Times" w:hAnsi="Times" w:cs="Times"/>
              </w:rPr>
            </w:pPr>
            <w:r>
              <w:t xml:space="preserve">“Judge says Washington’s ban,” </w:t>
            </w:r>
            <w:r>
              <w:rPr>
                <w:i/>
              </w:rPr>
              <w:t>CNN.com</w:t>
            </w:r>
            <w:r>
              <w:t>.</w:t>
            </w:r>
          </w:p>
        </w:tc>
      </w:tr>
      <w:tr w:rsidR="007A2F49" w14:paraId="0F3D9513" w14:textId="77777777">
        <w:trPr>
          <w:jc w:val="center"/>
        </w:trPr>
        <w:tc>
          <w:tcPr>
            <w:tcW w:w="2055" w:type="dxa"/>
            <w:tcBorders>
              <w:bottom w:val="single" w:sz="4" w:space="0" w:color="000000"/>
            </w:tcBorders>
          </w:tcPr>
          <w:p w14:paraId="0F3D9511" w14:textId="77777777" w:rsidR="007A2F49" w:rsidRDefault="00CB30F4">
            <w:r>
              <w:lastRenderedPageBreak/>
              <w:t>Bibliographic entry</w:t>
            </w:r>
          </w:p>
        </w:tc>
        <w:tc>
          <w:tcPr>
            <w:tcW w:w="7365" w:type="dxa"/>
            <w:tcBorders>
              <w:bottom w:val="single" w:sz="4" w:space="0" w:color="000000"/>
            </w:tcBorders>
          </w:tcPr>
          <w:p w14:paraId="0F3D9512" w14:textId="77777777" w:rsidR="007A2F49" w:rsidRDefault="00CB30F4">
            <w:pPr>
              <w:ind w:left="519" w:hanging="519"/>
              <w:rPr>
                <w:rFonts w:ascii="Times" w:eastAsia="Times" w:hAnsi="Times" w:cs="Times"/>
              </w:rPr>
            </w:pPr>
            <w:r>
              <w:t xml:space="preserve">“Judge says Washington’s ban on handguns in public is unconstitutional.” </w:t>
            </w:r>
            <w:r>
              <w:rPr>
                <w:i/>
              </w:rPr>
              <w:t>CNN.com</w:t>
            </w:r>
            <w:r>
              <w:t>. Last modified July 27, 2014. http://www.cnn.com/2014/07/27/justice/washington-gun-ruling/index.html?hpt=us_c2.</w:t>
            </w:r>
          </w:p>
        </w:tc>
      </w:tr>
      <w:tr w:rsidR="007A2F49" w14:paraId="0F3D9515" w14:textId="77777777">
        <w:trPr>
          <w:trHeight w:val="240"/>
          <w:jc w:val="center"/>
        </w:trPr>
        <w:tc>
          <w:tcPr>
            <w:tcW w:w="9420" w:type="dxa"/>
            <w:gridSpan w:val="2"/>
            <w:tcBorders>
              <w:top w:val="single" w:sz="4" w:space="0" w:color="000000"/>
            </w:tcBorders>
          </w:tcPr>
          <w:p w14:paraId="0F3D9514" w14:textId="77777777" w:rsidR="007A2F49" w:rsidRDefault="00CB30F4">
            <w:pPr>
              <w:pStyle w:val="Heading3"/>
              <w:jc w:val="center"/>
              <w:rPr>
                <w:b/>
                <w:sz w:val="26"/>
                <w:szCs w:val="26"/>
              </w:rPr>
            </w:pPr>
            <w:bookmarkStart w:id="13" w:name="_10sucnb6dxl0" w:colFirst="0" w:colLast="0"/>
            <w:bookmarkEnd w:id="13"/>
            <w:r>
              <w:rPr>
                <w:sz w:val="26"/>
                <w:szCs w:val="26"/>
              </w:rPr>
              <w:t>Webpage with No Date and No Author</w:t>
            </w:r>
          </w:p>
        </w:tc>
      </w:tr>
      <w:tr w:rsidR="007A2F49" w14:paraId="0F3D9518" w14:textId="77777777">
        <w:trPr>
          <w:jc w:val="center"/>
        </w:trPr>
        <w:tc>
          <w:tcPr>
            <w:tcW w:w="2055" w:type="dxa"/>
          </w:tcPr>
          <w:p w14:paraId="0F3D9516" w14:textId="77777777" w:rsidR="007A2F49" w:rsidRDefault="00CB30F4">
            <w:r>
              <w:t>Note</w:t>
            </w:r>
          </w:p>
        </w:tc>
        <w:tc>
          <w:tcPr>
            <w:tcW w:w="7365" w:type="dxa"/>
          </w:tcPr>
          <w:p w14:paraId="0F3D9517" w14:textId="77777777" w:rsidR="007A2F49" w:rsidRDefault="00CB30F4">
            <w:pPr>
              <w:rPr>
                <w:rFonts w:ascii="Times" w:eastAsia="Times" w:hAnsi="Times" w:cs="Times"/>
              </w:rPr>
            </w:pPr>
            <w:r>
              <w:t xml:space="preserve">“Human Rights Abuses,” </w:t>
            </w:r>
            <w:r>
              <w:rPr>
                <w:i/>
              </w:rPr>
              <w:t>All Things North Korean</w:t>
            </w:r>
            <w:r>
              <w:t xml:space="preserve">. </w:t>
            </w:r>
          </w:p>
        </w:tc>
      </w:tr>
      <w:tr w:rsidR="007A2F49" w14:paraId="0F3D951B" w14:textId="77777777">
        <w:trPr>
          <w:jc w:val="center"/>
        </w:trPr>
        <w:tc>
          <w:tcPr>
            <w:tcW w:w="2055" w:type="dxa"/>
          </w:tcPr>
          <w:p w14:paraId="0F3D9519" w14:textId="77777777" w:rsidR="007A2F49" w:rsidRDefault="00CB30F4">
            <w:r>
              <w:t>Bibliographic entry</w:t>
            </w:r>
          </w:p>
        </w:tc>
        <w:tc>
          <w:tcPr>
            <w:tcW w:w="7365" w:type="dxa"/>
          </w:tcPr>
          <w:p w14:paraId="0F3D951A" w14:textId="77777777" w:rsidR="007A2F49" w:rsidRDefault="00CB30F4">
            <w:pPr>
              <w:ind w:left="519" w:hanging="519"/>
              <w:rPr>
                <w:rFonts w:ascii="Times" w:eastAsia="Times" w:hAnsi="Times" w:cs="Times"/>
              </w:rPr>
            </w:pPr>
            <w:r>
              <w:t xml:space="preserve">“Human Rights Abuses in North Korea.” </w:t>
            </w:r>
            <w:r>
              <w:rPr>
                <w:i/>
              </w:rPr>
              <w:t>All Things North Korean</w:t>
            </w:r>
            <w:r>
              <w:t xml:space="preserve">. Accessed July 1, 2014. http://www.allthingsnk.com/human-rights-abuses-in-north-korea. </w:t>
            </w:r>
          </w:p>
        </w:tc>
      </w:tr>
    </w:tbl>
    <w:p w14:paraId="0F3D951C" w14:textId="77777777" w:rsidR="007A2F49" w:rsidRDefault="007A2F49">
      <w:pPr>
        <w:rPr>
          <w:sz w:val="24"/>
          <w:szCs w:val="24"/>
        </w:rPr>
      </w:pPr>
    </w:p>
    <w:sectPr w:rsidR="007A2F49">
      <w:footerReference w:type="even" r:id="rId11"/>
      <w:footerReference w:type="default" r:id="rId12"/>
      <w:footerReference w:type="firs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BFF2" w14:textId="77777777" w:rsidR="00CD4069" w:rsidRDefault="00CD4069">
      <w:pPr>
        <w:spacing w:line="240" w:lineRule="auto"/>
      </w:pPr>
      <w:r>
        <w:separator/>
      </w:r>
    </w:p>
  </w:endnote>
  <w:endnote w:type="continuationSeparator" w:id="0">
    <w:p w14:paraId="49205FED" w14:textId="77777777" w:rsidR="00CD4069" w:rsidRDefault="00CD4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951F" w14:textId="77777777" w:rsidR="007A2F49" w:rsidRDefault="00CB30F4">
    <w:pPr>
      <w:pBdr>
        <w:top w:val="nil"/>
        <w:left w:val="nil"/>
        <w:bottom w:val="nil"/>
        <w:right w:val="nil"/>
        <w:between w:val="nil"/>
      </w:pBdr>
      <w:tabs>
        <w:tab w:val="center" w:pos="4320"/>
        <w:tab w:val="right" w:pos="864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0F3D9520" w14:textId="77777777" w:rsidR="007A2F49" w:rsidRDefault="007A2F49">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9521" w14:textId="77777777" w:rsidR="007A2F49" w:rsidRDefault="007A2F49">
    <w:pPr>
      <w:pBdr>
        <w:top w:val="nil"/>
        <w:left w:val="nil"/>
        <w:bottom w:val="nil"/>
        <w:right w:val="nil"/>
        <w:between w:val="nil"/>
      </w:pBdr>
      <w:tabs>
        <w:tab w:val="center" w:pos="4320"/>
        <w:tab w:val="right" w:pos="8640"/>
      </w:tabs>
      <w:spacing w:line="240" w:lineRule="auto"/>
      <w:jc w:val="right"/>
      <w:rPr>
        <w:color w:val="000000"/>
        <w:sz w:val="24"/>
        <w:szCs w:val="24"/>
      </w:rPr>
    </w:pPr>
  </w:p>
  <w:p w14:paraId="0F3D9522" w14:textId="77777777" w:rsidR="007A2F49" w:rsidRDefault="007A2F49">
    <w:pPr>
      <w:pBdr>
        <w:top w:val="nil"/>
        <w:left w:val="nil"/>
        <w:bottom w:val="nil"/>
        <w:right w:val="nil"/>
        <w:between w:val="nil"/>
      </w:pBdr>
      <w:tabs>
        <w:tab w:val="center" w:pos="4320"/>
        <w:tab w:val="right" w:pos="8640"/>
      </w:tabs>
      <w:spacing w:line="240" w:lineRule="auto"/>
      <w:jc w:val="right"/>
    </w:pPr>
  </w:p>
  <w:p w14:paraId="0F3D9523" w14:textId="443EBC4F" w:rsidR="007A2F49" w:rsidRDefault="00CB30F4">
    <w:pPr>
      <w:pBdr>
        <w:top w:val="nil"/>
        <w:left w:val="nil"/>
        <w:bottom w:val="nil"/>
        <w:right w:val="nil"/>
        <w:between w:val="nil"/>
      </w:pBdr>
      <w:tabs>
        <w:tab w:val="center" w:pos="4320"/>
        <w:tab w:val="right" w:pos="8640"/>
      </w:tabs>
      <w:spacing w:line="240" w:lineRule="auto"/>
      <w:jc w:val="right"/>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9524" w14:textId="77777777" w:rsidR="007A2F49" w:rsidRDefault="007A2F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9908" w14:textId="77777777" w:rsidR="00CD4069" w:rsidRDefault="00CD4069">
      <w:pPr>
        <w:spacing w:line="240" w:lineRule="auto"/>
      </w:pPr>
      <w:r>
        <w:separator/>
      </w:r>
    </w:p>
  </w:footnote>
  <w:footnote w:type="continuationSeparator" w:id="0">
    <w:p w14:paraId="2868802A" w14:textId="77777777" w:rsidR="00CD4069" w:rsidRDefault="00CD40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F49"/>
    <w:rsid w:val="00015BDC"/>
    <w:rsid w:val="002C009D"/>
    <w:rsid w:val="007A2F49"/>
    <w:rsid w:val="0096346D"/>
    <w:rsid w:val="009B5702"/>
    <w:rsid w:val="00A152A2"/>
    <w:rsid w:val="00BA1F4E"/>
    <w:rsid w:val="00C203CB"/>
    <w:rsid w:val="00CB30F4"/>
    <w:rsid w:val="00CD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D949C"/>
  <w15:docId w15:val="{C9CE91C0-F657-3C4A-B5F3-8060364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0"/>
      <w:szCs w:val="40"/>
    </w:rPr>
  </w:style>
  <w:style w:type="paragraph" w:styleId="Heading2">
    <w:name w:val="heading 2"/>
    <w:basedOn w:val="Normal"/>
    <w:next w:val="Normal"/>
    <w:uiPriority w:val="9"/>
    <w:unhideWhenUsed/>
    <w:qFormat/>
    <w:pPr>
      <w:keepNext/>
      <w:keepLines/>
      <w:spacing w:before="360" w:after="120"/>
      <w:outlineLvl w:val="1"/>
    </w:pPr>
    <w:rPr>
      <w:b/>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semiHidden/>
    <w:unhideWhenUsed/>
    <w:rsid w:val="00A152A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152A2"/>
  </w:style>
  <w:style w:type="paragraph" w:styleId="Footer">
    <w:name w:val="footer"/>
    <w:basedOn w:val="Normal"/>
    <w:link w:val="FooterChar"/>
    <w:uiPriority w:val="99"/>
    <w:semiHidden/>
    <w:unhideWhenUsed/>
    <w:rsid w:val="00A152A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1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24C74-1D10-4AE6-A970-17289C48EC89}">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2.xml><?xml version="1.0" encoding="utf-8"?>
<ds:datastoreItem xmlns:ds="http://schemas.openxmlformats.org/officeDocument/2006/customXml" ds:itemID="{2487215E-CB3C-4AFE-83E3-2AF61B68D95C}">
  <ds:schemaRefs>
    <ds:schemaRef ds:uri="http://schemas.microsoft.com/sharepoint/v3/contenttype/forms"/>
  </ds:schemaRefs>
</ds:datastoreItem>
</file>

<file path=customXml/itemProps3.xml><?xml version="1.0" encoding="utf-8"?>
<ds:datastoreItem xmlns:ds="http://schemas.openxmlformats.org/officeDocument/2006/customXml" ds:itemID="{7CEDC066-3612-451C-8A8A-838A020F6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806</Words>
  <Characters>4847</Characters>
  <Application>Microsoft Office Word</Application>
  <DocSecurity>0</DocSecurity>
  <Lines>134</Lines>
  <Paragraphs>80</Paragraphs>
  <ScaleCrop>false</ScaleCrop>
  <Company>CU Denver Writing Center</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5</cp:revision>
  <cp:lastPrinted>2026-03-18T19:10:00Z</cp:lastPrinted>
  <dcterms:created xsi:type="dcterms:W3CDTF">2025-10-23T19:39:00Z</dcterms:created>
  <dcterms:modified xsi:type="dcterms:W3CDTF">2026-03-18T19:10:00Z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