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07" w:rsidRDefault="0038624F">
      <w:pPr>
        <w:spacing w:after="0"/>
        <w:ind w:left="2914" w:right="3201"/>
        <w:jc w:val="center"/>
      </w:pPr>
      <w:r>
        <w:rPr>
          <w:b/>
          <w:sz w:val="36"/>
        </w:rPr>
        <w:t xml:space="preserve">HIST 1400 </w:t>
      </w:r>
    </w:p>
    <w:p w:rsidR="00AB5607" w:rsidRDefault="0038624F">
      <w:pPr>
        <w:spacing w:after="0"/>
        <w:ind w:left="2914" w:right="3111"/>
        <w:jc w:val="center"/>
        <w:rPr>
          <w:i/>
          <w:sz w:val="36"/>
        </w:rPr>
      </w:pPr>
      <w:r>
        <w:rPr>
          <w:b/>
          <w:sz w:val="36"/>
        </w:rPr>
        <w:t xml:space="preserve">Controversies in History </w:t>
      </w:r>
    </w:p>
    <w:p w:rsidR="003C2568" w:rsidRDefault="003C2568">
      <w:pPr>
        <w:spacing w:after="0"/>
        <w:ind w:left="2914" w:right="3111"/>
        <w:jc w:val="center"/>
      </w:pPr>
      <w:r>
        <w:rPr>
          <w:i/>
          <w:sz w:val="36"/>
        </w:rPr>
        <w:t>2023-2024</w:t>
      </w:r>
    </w:p>
    <w:p w:rsidR="00AB5607" w:rsidRDefault="0038624F">
      <w:pPr>
        <w:spacing w:after="0" w:line="259" w:lineRule="auto"/>
        <w:ind w:left="0" w:right="237" w:firstLine="0"/>
        <w:jc w:val="center"/>
      </w:pPr>
      <w:r>
        <w:t xml:space="preserve"> </w:t>
      </w:r>
    </w:p>
    <w:p w:rsidR="00AB5607" w:rsidRDefault="0038624F">
      <w:pPr>
        <w:spacing w:after="0" w:line="259" w:lineRule="auto"/>
        <w:ind w:left="589"/>
      </w:pPr>
      <w:r>
        <w:rPr>
          <w:b/>
        </w:rPr>
        <w:t xml:space="preserve">Instructor: </w:t>
      </w:r>
    </w:p>
    <w:p w:rsidR="00AB5607" w:rsidRDefault="0038624F">
      <w:pPr>
        <w:spacing w:after="0" w:line="259" w:lineRule="auto"/>
        <w:ind w:left="589"/>
      </w:pPr>
      <w:r>
        <w:rPr>
          <w:b/>
        </w:rPr>
        <w:t xml:space="preserve">Class Meetings/Location: </w:t>
      </w:r>
    </w:p>
    <w:p w:rsidR="00AB5607" w:rsidRDefault="0038624F">
      <w:pPr>
        <w:spacing w:after="0" w:line="259" w:lineRule="auto"/>
        <w:ind w:left="589"/>
      </w:pPr>
      <w:r>
        <w:rPr>
          <w:b/>
        </w:rPr>
        <w:t xml:space="preserve">Email: </w:t>
      </w:r>
    </w:p>
    <w:p w:rsidR="00AB5607" w:rsidRDefault="0038624F">
      <w:pPr>
        <w:spacing w:after="0" w:line="259" w:lineRule="auto"/>
        <w:ind w:left="589"/>
      </w:pPr>
      <w:r>
        <w:rPr>
          <w:b/>
        </w:rPr>
        <w:t xml:space="preserve">Office Location: </w:t>
      </w:r>
    </w:p>
    <w:p w:rsidR="00AB5607" w:rsidRDefault="0038624F">
      <w:pPr>
        <w:spacing w:after="0" w:line="259" w:lineRule="auto"/>
        <w:ind w:left="589"/>
      </w:pPr>
      <w:r>
        <w:rPr>
          <w:b/>
        </w:rPr>
        <w:t xml:space="preserve">Office Hours: </w:t>
      </w:r>
      <w:bookmarkStart w:id="0" w:name="_GoBack"/>
      <w:bookmarkEnd w:id="0"/>
    </w:p>
    <w:p w:rsidR="00AB5607" w:rsidRDefault="0038624F">
      <w:pPr>
        <w:spacing w:after="0" w:line="259" w:lineRule="auto"/>
        <w:ind w:left="594" w:firstLine="0"/>
      </w:pPr>
      <w:r>
        <w:t xml:space="preserve"> </w:t>
      </w:r>
    </w:p>
    <w:p w:rsidR="00AB5607" w:rsidRDefault="0038624F">
      <w:pPr>
        <w:ind w:left="589" w:right="879"/>
      </w:pPr>
      <w:r>
        <w:rPr>
          <w:b/>
          <w:u w:val="single" w:color="000000"/>
        </w:rPr>
        <w:t>Catalog Title:</w:t>
      </w:r>
      <w:r>
        <w:t xml:space="preserve"> HIST 1400: Controversies in History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Course Description:</w:t>
      </w:r>
      <w:r>
        <w:rPr>
          <w:b/>
        </w:rPr>
        <w:t xml:space="preserve">  </w:t>
      </w:r>
    </w:p>
    <w:p w:rsidR="00AB5607" w:rsidRDefault="0038624F">
      <w:pPr>
        <w:ind w:left="589" w:right="879"/>
      </w:pPr>
      <w:r>
        <w:t xml:space="preserve">This course examines how historians use the raw material of the past to interpret the “who, what, when, where, why” of historical events and processes.  Students will explore a variety of cases where historians have significant disagreement or diverse interpretations regarding “what happened” and “why” to come to an understanding of what historians do and how they do it. </w:t>
      </w:r>
    </w:p>
    <w:p w:rsidR="00AB5607" w:rsidRDefault="0038624F">
      <w:pPr>
        <w:spacing w:after="0" w:line="259" w:lineRule="auto"/>
        <w:ind w:left="594" w:firstLine="0"/>
      </w:pPr>
      <w:r>
        <w:t xml:space="preserve"> </w:t>
      </w:r>
    </w:p>
    <w:p w:rsidR="00AB5607" w:rsidRDefault="0038624F">
      <w:pPr>
        <w:ind w:left="589" w:right="879"/>
      </w:pPr>
      <w:r>
        <w:rPr>
          <w:b/>
          <w:u w:val="single" w:color="000000"/>
        </w:rPr>
        <w:t>Core Course Notice</w:t>
      </w:r>
      <w:r>
        <w:t xml:space="preserve">: This course is part of the Humanities Core program. See your advisor for additional information about Core Curriculum requirements.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Content Overview:</w:t>
      </w:r>
      <w:r>
        <w:rPr>
          <w:b/>
        </w:rPr>
        <w:t xml:space="preserve"> </w:t>
      </w:r>
    </w:p>
    <w:p w:rsidR="00AB5607" w:rsidRDefault="0038624F">
      <w:pPr>
        <w:spacing w:after="12" w:line="236" w:lineRule="auto"/>
        <w:ind w:left="594" w:right="705" w:firstLine="0"/>
      </w:pPr>
      <w:r>
        <w:rPr>
          <w:rFonts w:ascii="Cambria" w:eastAsia="Cambria" w:hAnsi="Cambria" w:cs="Cambria"/>
          <w:sz w:val="22"/>
        </w:rPr>
        <w:t>Co</w:t>
      </w:r>
      <w:r w:rsidR="00584016">
        <w:rPr>
          <w:rFonts w:ascii="Cambria" w:eastAsia="Cambria" w:hAnsi="Cambria" w:cs="Cambria"/>
          <w:sz w:val="22"/>
        </w:rPr>
        <w:t xml:space="preserve">ntroversies abound in history. Can we use the methods </w:t>
      </w:r>
      <w:r>
        <w:rPr>
          <w:rFonts w:ascii="Cambria" w:eastAsia="Cambria" w:hAnsi="Cambria" w:cs="Cambria"/>
          <w:sz w:val="22"/>
        </w:rPr>
        <w:t>of</w:t>
      </w:r>
      <w:r>
        <w:rPr>
          <w:rFonts w:ascii="Cambria" w:eastAsia="Cambria" w:hAnsi="Cambria" w:cs="Cambria"/>
          <w:sz w:val="22"/>
        </w:rPr>
        <w:tab/>
        <w:t>historians to make sense of controversies for ourselves? We may not reach</w:t>
      </w:r>
      <w:r>
        <w:rPr>
          <w:rFonts w:ascii="Cambria" w:eastAsia="Cambria" w:hAnsi="Cambria" w:cs="Cambria"/>
          <w:sz w:val="22"/>
        </w:rPr>
        <w:tab/>
        <w:t>any definitive conclusions, but</w:t>
      </w:r>
      <w:r>
        <w:rPr>
          <w:rFonts w:ascii="Cambria" w:eastAsia="Cambria" w:hAnsi="Cambria" w:cs="Cambria"/>
          <w:sz w:val="22"/>
        </w:rPr>
        <w:tab/>
        <w:t>we will</w:t>
      </w:r>
      <w:r>
        <w:rPr>
          <w:rFonts w:ascii="Cambria" w:eastAsia="Cambria" w:hAnsi="Cambria" w:cs="Cambria"/>
          <w:sz w:val="22"/>
        </w:rPr>
        <w:tab/>
        <w:t>practice the art of formulating an argument that presents our positions on controversial topics.</w:t>
      </w:r>
      <w:r>
        <w:rPr>
          <w:rFonts w:ascii="Cambria" w:eastAsia="Cambria" w:hAnsi="Cambria" w:cs="Cambria"/>
          <w:sz w:val="22"/>
        </w:rPr>
        <w:tab/>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Student Learning Outcomes:</w:t>
      </w:r>
      <w:r>
        <w:rPr>
          <w:b/>
        </w:rPr>
        <w:t xml:space="preserve"> </w:t>
      </w:r>
    </w:p>
    <w:p w:rsidR="00AB5607" w:rsidRDefault="0038624F">
      <w:pPr>
        <w:ind w:left="589" w:right="879"/>
      </w:pPr>
      <w:r>
        <w:t xml:space="preserve">The goal of this course is to familiarize students with historical methodologies and to master the building blocks of historical analysis. To achieve these goals, students must be able to do the following upon completion of this course: </w:t>
      </w:r>
    </w:p>
    <w:p w:rsidR="00AB5607" w:rsidRDefault="0038624F">
      <w:pPr>
        <w:numPr>
          <w:ilvl w:val="0"/>
          <w:numId w:val="1"/>
        </w:numPr>
        <w:ind w:right="879" w:hanging="240"/>
      </w:pPr>
      <w:r>
        <w:t xml:space="preserve">Describe and apply the historical process. </w:t>
      </w:r>
    </w:p>
    <w:p w:rsidR="00AB5607" w:rsidRDefault="0038624F">
      <w:pPr>
        <w:numPr>
          <w:ilvl w:val="0"/>
          <w:numId w:val="1"/>
        </w:numPr>
        <w:ind w:right="879" w:hanging="240"/>
      </w:pPr>
      <w:r>
        <w:t xml:space="preserve">Demonstrate an awareness of how the course readings fit in historical contexts. </w:t>
      </w:r>
    </w:p>
    <w:p w:rsidR="00AB5607" w:rsidRDefault="0038624F">
      <w:pPr>
        <w:numPr>
          <w:ilvl w:val="0"/>
          <w:numId w:val="1"/>
        </w:numPr>
        <w:ind w:right="879" w:hanging="240"/>
      </w:pPr>
      <w:r>
        <w:t xml:space="preserve">Demonstrate the ability to create historical arguments from primary sources. </w:t>
      </w:r>
    </w:p>
    <w:p w:rsidR="00AB5607" w:rsidRDefault="0038624F">
      <w:pPr>
        <w:numPr>
          <w:ilvl w:val="0"/>
          <w:numId w:val="1"/>
        </w:numPr>
        <w:ind w:right="879" w:hanging="240"/>
      </w:pPr>
      <w:r>
        <w:t xml:space="preserve">Explain and analyze how past peoples understood their world and how those understandings shaped the way they acted. </w:t>
      </w:r>
    </w:p>
    <w:p w:rsidR="00AB5607" w:rsidRDefault="0038624F">
      <w:pPr>
        <w:numPr>
          <w:ilvl w:val="0"/>
          <w:numId w:val="1"/>
        </w:numPr>
        <w:ind w:right="879" w:hanging="240"/>
      </w:pPr>
      <w:r>
        <w:t xml:space="preserve">Identify different types of texts and other sources of historical evidence, distinguishing between primary sources (letters, diaries, speeches, time-period newspaper reports, etc.) and secondary sources (works produced by historians such as books, journal articles, etc.). </w:t>
      </w:r>
    </w:p>
    <w:p w:rsidR="00AB5607" w:rsidRDefault="0038624F">
      <w:pPr>
        <w:numPr>
          <w:ilvl w:val="0"/>
          <w:numId w:val="2"/>
        </w:numPr>
        <w:ind w:right="916" w:hanging="240"/>
      </w:pPr>
      <w:r>
        <w:t xml:space="preserve">Demonstrate the ability to interpret, analyze, critique, and compose arguments utilizing primary and secondary sources to support claims. </w:t>
      </w:r>
    </w:p>
    <w:p w:rsidR="00AB5607" w:rsidRDefault="0038624F">
      <w:pPr>
        <w:numPr>
          <w:ilvl w:val="0"/>
          <w:numId w:val="2"/>
        </w:numPr>
        <w:ind w:right="916" w:hanging="240"/>
      </w:pPr>
      <w:r>
        <w:t xml:space="preserve">Identify the cultural, historical, political, economic, and intellectual influences on all texts used throughout the course and critically consider how these influences may be used to shape popular opinion on a particular subject. </w:t>
      </w:r>
    </w:p>
    <w:p w:rsidR="00AB5607" w:rsidRDefault="0038624F">
      <w:pPr>
        <w:numPr>
          <w:ilvl w:val="0"/>
          <w:numId w:val="2"/>
        </w:numPr>
        <w:ind w:right="916" w:hanging="240"/>
      </w:pPr>
      <w:r>
        <w:t xml:space="preserve">Evaluate authors’ arguments and evidence, demonstrate sensitivity to sources’ potential biases and limitations, explain the challenges of constructing historical narratives using incomplete and sometimes contradictory evidence, be able to work constructively with multifaceted or ambiguous interpretations, and formulate coherent arguments by sifting through competing explanations and interpretations. </w:t>
      </w:r>
    </w:p>
    <w:p w:rsidR="00AB5607" w:rsidRDefault="0038624F">
      <w:pPr>
        <w:numPr>
          <w:ilvl w:val="0"/>
          <w:numId w:val="2"/>
        </w:numPr>
        <w:ind w:right="916" w:hanging="240"/>
      </w:pPr>
      <w:r>
        <w:t xml:space="preserve">Critically consider the ways historical narratives (historiography) and memories are used. </w:t>
      </w:r>
    </w:p>
    <w:p w:rsidR="00AB5607" w:rsidRDefault="0038624F">
      <w:pPr>
        <w:spacing w:after="0" w:line="259" w:lineRule="auto"/>
        <w:ind w:left="594" w:firstLine="0"/>
      </w:pPr>
      <w:r>
        <w:lastRenderedPageBreak/>
        <w:t xml:space="preserve"> </w:t>
      </w:r>
    </w:p>
    <w:p w:rsidR="00AB5607" w:rsidRDefault="0038624F">
      <w:pPr>
        <w:spacing w:line="259" w:lineRule="auto"/>
        <w:ind w:left="589"/>
      </w:pPr>
      <w:r>
        <w:rPr>
          <w:b/>
          <w:u w:val="single" w:color="000000"/>
        </w:rPr>
        <w:t>Course Requirements:</w:t>
      </w:r>
      <w:r>
        <w:rPr>
          <w:b/>
        </w:rPr>
        <w:t xml:space="preserve"> </w:t>
      </w:r>
    </w:p>
    <w:p w:rsidR="00AB5607" w:rsidRDefault="0038624F">
      <w:pPr>
        <w:ind w:left="589" w:right="879"/>
      </w:pPr>
      <w:r>
        <w:rPr>
          <w:b/>
          <w:u w:val="single" w:color="000000"/>
        </w:rPr>
        <w:t xml:space="preserve">Primary Source Analyses: </w:t>
      </w:r>
      <w:r>
        <w:rPr>
          <w:u w:val="single" w:color="000000"/>
        </w:rPr>
        <w:t>F</w:t>
      </w:r>
      <w:r>
        <w:t xml:space="preserve">our times throughout the semester, students will be tasked with analyzing a primary source collected during research on the topic of their choice. </w:t>
      </w:r>
      <w:r>
        <w:rPr>
          <w:b/>
        </w:rPr>
        <w:t>These primary sources analyses are worth 10% of the students’ final grade.</w:t>
      </w:r>
      <w:r>
        <w:t xml:space="preserve"> </w:t>
      </w:r>
    </w:p>
    <w:p w:rsidR="00AB5607" w:rsidRDefault="0038624F">
      <w:pPr>
        <w:spacing w:after="0" w:line="259" w:lineRule="auto"/>
        <w:ind w:left="594" w:firstLine="0"/>
      </w:pPr>
      <w:r>
        <w:rPr>
          <w:b/>
        </w:rPr>
        <w:t xml:space="preserve"> </w:t>
      </w:r>
    </w:p>
    <w:p w:rsidR="00AB5607" w:rsidRDefault="0038624F">
      <w:pPr>
        <w:ind w:left="589" w:right="879"/>
      </w:pPr>
      <w:r>
        <w:rPr>
          <w:b/>
          <w:u w:val="single" w:color="000000"/>
        </w:rPr>
        <w:t>Historiographic Essay:</w:t>
      </w:r>
      <w:r>
        <w:rPr>
          <w:b/>
        </w:rPr>
        <w:t xml:space="preserve"> </w:t>
      </w:r>
      <w:r>
        <w:t xml:space="preserve">Students will complete </w:t>
      </w:r>
      <w:proofErr w:type="gramStart"/>
      <w:r>
        <w:t>an</w:t>
      </w:r>
      <w:proofErr w:type="gramEnd"/>
      <w:r>
        <w:t xml:space="preserve"> historiographic essay 6 to 10 pages in length exploring the historiographic debate surrounding a topic of their choosing. While students can incorporate primary sources, they should focus primarily on the historiography of the topic</w:t>
      </w:r>
      <w:r>
        <w:rPr>
          <w:b/>
        </w:rPr>
        <w:t xml:space="preserve">. The historiographic essay is worth 15% of the students’ final grade. </w:t>
      </w:r>
    </w:p>
    <w:p w:rsidR="00AB5607" w:rsidRDefault="0038624F">
      <w:pPr>
        <w:spacing w:after="0" w:line="259" w:lineRule="auto"/>
        <w:ind w:left="594" w:firstLine="0"/>
      </w:pPr>
      <w:r>
        <w:rPr>
          <w:b/>
        </w:rPr>
        <w:t xml:space="preserve"> </w:t>
      </w:r>
    </w:p>
    <w:p w:rsidR="00AB5607" w:rsidRDefault="0038624F">
      <w:pPr>
        <w:ind w:left="589" w:right="879"/>
      </w:pPr>
      <w:r>
        <w:rPr>
          <w:b/>
          <w:u w:val="single" w:color="000000"/>
        </w:rPr>
        <w:t>Book Club Reading Guides:</w:t>
      </w:r>
      <w:r>
        <w:rPr>
          <w:b/>
        </w:rPr>
        <w:t xml:space="preserve"> </w:t>
      </w:r>
      <w:r>
        <w:t xml:space="preserve">The instructor will provide reading guides for </w:t>
      </w:r>
      <w:r>
        <w:rPr>
          <w:i/>
        </w:rPr>
        <w:t xml:space="preserve">A Midwife’s Tale. </w:t>
      </w:r>
    </w:p>
    <w:p w:rsidR="00AB5607" w:rsidRDefault="0038624F">
      <w:pPr>
        <w:ind w:left="589" w:right="879"/>
      </w:pPr>
      <w:r>
        <w:t xml:space="preserve">They will be in the form of book club questions and will be used to guide classroom discussion.  There will be a culminating question assignment to understand the way in which this story demonstrates the use of history.  </w:t>
      </w:r>
      <w:r>
        <w:rPr>
          <w:b/>
        </w:rPr>
        <w:t xml:space="preserve">The book club is worth 10% of the students’ final grade. </w:t>
      </w:r>
    </w:p>
    <w:p w:rsidR="00AB5607" w:rsidRDefault="0038624F">
      <w:pPr>
        <w:spacing w:after="0" w:line="259" w:lineRule="auto"/>
        <w:ind w:left="594" w:firstLine="0"/>
      </w:pPr>
      <w:r>
        <w:rPr>
          <w:b/>
        </w:rPr>
        <w:t xml:space="preserve"> </w:t>
      </w:r>
    </w:p>
    <w:p w:rsidR="00AB5607" w:rsidRDefault="0038624F">
      <w:pPr>
        <w:ind w:left="589" w:right="879"/>
      </w:pPr>
      <w:r>
        <w:rPr>
          <w:b/>
          <w:u w:val="single" w:color="000000"/>
        </w:rPr>
        <w:t>Midterm DBQ:</w:t>
      </w:r>
      <w:r>
        <w:rPr>
          <w:b/>
        </w:rPr>
        <w:t xml:space="preserve"> </w:t>
      </w:r>
      <w:r>
        <w:t xml:space="preserve">Students will take one midterm DBQ. This DBQ will ask students to examine and evaluate the arguments in a number of provided primary and secondary sources. </w:t>
      </w:r>
      <w:r>
        <w:rPr>
          <w:b/>
        </w:rPr>
        <w:t xml:space="preserve">The DBQ is worth 15% of the students’ final grade. </w:t>
      </w:r>
    </w:p>
    <w:p w:rsidR="00AB5607" w:rsidRDefault="0038624F">
      <w:pPr>
        <w:spacing w:after="0" w:line="259" w:lineRule="auto"/>
        <w:ind w:left="594" w:firstLine="0"/>
      </w:pPr>
      <w:r>
        <w:rPr>
          <w:b/>
        </w:rPr>
        <w:t xml:space="preserve"> </w:t>
      </w:r>
    </w:p>
    <w:p w:rsidR="00AB5607" w:rsidRDefault="0038624F">
      <w:pPr>
        <w:ind w:left="589" w:right="879"/>
      </w:pPr>
      <w:r>
        <w:rPr>
          <w:b/>
          <w:u w:val="single" w:color="000000"/>
        </w:rPr>
        <w:t>Final Cumulative Essay:</w:t>
      </w:r>
      <w:r>
        <w:rPr>
          <w:b/>
        </w:rPr>
        <w:t xml:space="preserve"> </w:t>
      </w:r>
      <w:r>
        <w:t xml:space="preserve">Students will incorporate the elements of both their historiographic and the primary source research they have done on their topic throughout the semester to compose an argumentative essay of 10-15 pages. </w:t>
      </w:r>
      <w:r>
        <w:rPr>
          <w:b/>
        </w:rPr>
        <w:t xml:space="preserve">The final essay is worth 20% of the students’ final grade. </w:t>
      </w:r>
    </w:p>
    <w:p w:rsidR="00AB5607" w:rsidRDefault="0038624F">
      <w:pPr>
        <w:spacing w:after="0" w:line="259" w:lineRule="auto"/>
        <w:ind w:left="1314" w:firstLine="0"/>
      </w:pPr>
      <w:r>
        <w:rPr>
          <w:b/>
        </w:rPr>
        <w:t xml:space="preserve"> </w:t>
      </w:r>
    </w:p>
    <w:p w:rsidR="00AB5607" w:rsidRDefault="0038624F">
      <w:pPr>
        <w:ind w:left="589" w:right="879"/>
      </w:pPr>
      <w:r>
        <w:rPr>
          <w:b/>
          <w:u w:val="single" w:color="000000"/>
        </w:rPr>
        <w:t>Attendance/Participation:</w:t>
      </w:r>
      <w:r>
        <w:rPr>
          <w:b/>
        </w:rPr>
        <w:t xml:space="preserve"> </w:t>
      </w:r>
      <w:r>
        <w:t xml:space="preserve">This course will involve a great deal of discussion and requires students’ attendance and participation. This could include daily assignments or expected student written contributions to the class in various forms. </w:t>
      </w:r>
      <w:r>
        <w:rPr>
          <w:b/>
        </w:rPr>
        <w:t>Attendance/participation is worth 30% of the students’ final grade.</w:t>
      </w:r>
      <w:r>
        <w:t xml:space="preserve"> </w:t>
      </w:r>
    </w:p>
    <w:p w:rsidR="00AB5607" w:rsidRDefault="0038624F">
      <w:pPr>
        <w:spacing w:after="0" w:line="259" w:lineRule="auto"/>
        <w:ind w:left="594" w:firstLine="0"/>
      </w:pPr>
      <w:r>
        <w:rPr>
          <w:b/>
        </w:rPr>
        <w:t xml:space="preserve"> </w:t>
      </w:r>
    </w:p>
    <w:p w:rsidR="00AB5607" w:rsidRDefault="0038624F">
      <w:pPr>
        <w:spacing w:line="259" w:lineRule="auto"/>
        <w:ind w:left="589"/>
      </w:pPr>
      <w:r>
        <w:rPr>
          <w:b/>
          <w:u w:val="single" w:color="000000"/>
        </w:rPr>
        <w:t>Suggested Readings:</w:t>
      </w:r>
      <w:r>
        <w:rPr>
          <w:b/>
        </w:rPr>
        <w:t xml:space="preserve"> </w:t>
      </w:r>
    </w:p>
    <w:p w:rsidR="00AB5607" w:rsidRDefault="0038624F">
      <w:pPr>
        <w:numPr>
          <w:ilvl w:val="0"/>
          <w:numId w:val="3"/>
        </w:numPr>
        <w:spacing w:after="33" w:line="244" w:lineRule="auto"/>
        <w:ind w:right="879" w:hanging="360"/>
      </w:pPr>
      <w:r>
        <w:rPr>
          <w:sz w:val="22"/>
        </w:rPr>
        <w:t xml:space="preserve">James West Davidson and Mark Lytle, </w:t>
      </w:r>
      <w:r>
        <w:rPr>
          <w:i/>
          <w:sz w:val="22"/>
        </w:rPr>
        <w:t>After the Fact: The Art of Historical Detection</w:t>
      </w:r>
      <w:r>
        <w:rPr>
          <w:sz w:val="22"/>
        </w:rPr>
        <w:t xml:space="preserve">. Be sure to get an edition that covers BOTH Volumes I and II (early AND later US history)  </w:t>
      </w:r>
    </w:p>
    <w:p w:rsidR="00AB5607" w:rsidRDefault="0038624F">
      <w:pPr>
        <w:numPr>
          <w:ilvl w:val="0"/>
          <w:numId w:val="3"/>
        </w:numPr>
        <w:spacing w:after="33" w:line="244" w:lineRule="auto"/>
        <w:ind w:right="879" w:hanging="360"/>
      </w:pPr>
      <w:r>
        <w:rPr>
          <w:sz w:val="22"/>
        </w:rPr>
        <w:t xml:space="preserve">Samuel </w:t>
      </w:r>
      <w:proofErr w:type="spellStart"/>
      <w:r>
        <w:rPr>
          <w:sz w:val="22"/>
        </w:rPr>
        <w:t>Wineburg</w:t>
      </w:r>
      <w:proofErr w:type="spellEnd"/>
      <w:r>
        <w:rPr>
          <w:sz w:val="22"/>
        </w:rPr>
        <w:t xml:space="preserve">, </w:t>
      </w:r>
      <w:r>
        <w:rPr>
          <w:i/>
          <w:sz w:val="22"/>
        </w:rPr>
        <w:t>Why Learn History (When It’s Already on Your Phone)</w:t>
      </w:r>
      <w:r>
        <w:rPr>
          <w:sz w:val="22"/>
        </w:rPr>
        <w:t xml:space="preserve">, University of Chicago Press (2018; ISBN-13: 978-0-226-35721-8) </w:t>
      </w:r>
    </w:p>
    <w:p w:rsidR="00AB5607" w:rsidRDefault="0038624F">
      <w:pPr>
        <w:numPr>
          <w:ilvl w:val="0"/>
          <w:numId w:val="3"/>
        </w:numPr>
        <w:spacing w:after="45" w:line="237" w:lineRule="auto"/>
        <w:ind w:right="879" w:hanging="360"/>
      </w:pPr>
      <w:r>
        <w:t xml:space="preserve">Laurel Thatcher Ulrich, </w:t>
      </w:r>
      <w:r>
        <w:rPr>
          <w:i/>
        </w:rPr>
        <w:t xml:space="preserve">A Midwife’s Tale: The Life of Martha Ballard, Based on Her Diary, 1785-1812  </w:t>
      </w:r>
      <w:r>
        <w:rPr>
          <w:b/>
          <w:color w:val="FF0000"/>
        </w:rPr>
        <w:t xml:space="preserve"> </w:t>
      </w:r>
    </w:p>
    <w:p w:rsidR="00AB5607" w:rsidRDefault="0038624F" w:rsidP="0038624F">
      <w:pPr>
        <w:numPr>
          <w:ilvl w:val="0"/>
          <w:numId w:val="3"/>
        </w:numPr>
        <w:ind w:right="879" w:hanging="360"/>
      </w:pPr>
      <w:r>
        <w:t>Assorted readings and exercises as determined by the instructor.</w:t>
      </w:r>
      <w:r>
        <w:rPr>
          <w:b/>
        </w:rPr>
        <w:t xml:space="preserve"> </w:t>
      </w:r>
    </w:p>
    <w:p w:rsidR="00AB5607" w:rsidRDefault="0038624F">
      <w:pPr>
        <w:spacing w:after="0" w:line="259" w:lineRule="auto"/>
        <w:ind w:left="594" w:firstLine="0"/>
      </w:pPr>
      <w:r>
        <w:rPr>
          <w:b/>
        </w:rPr>
        <w:t xml:space="preserve"> </w:t>
      </w:r>
    </w:p>
    <w:p w:rsidR="00AB5607" w:rsidRDefault="0038624F">
      <w:pPr>
        <w:spacing w:line="259" w:lineRule="auto"/>
        <w:ind w:left="589"/>
      </w:pPr>
      <w:r>
        <w:rPr>
          <w:b/>
          <w:u w:val="single" w:color="000000"/>
        </w:rPr>
        <w:t>Course &amp; University Policies</w:t>
      </w:r>
      <w:r>
        <w:rPr>
          <w:b/>
        </w:rPr>
        <w:t xml:space="preserve"> </w:t>
      </w:r>
    </w:p>
    <w:p w:rsidR="00AB5607" w:rsidRDefault="0038624F">
      <w:pPr>
        <w:numPr>
          <w:ilvl w:val="0"/>
          <w:numId w:val="3"/>
        </w:numPr>
        <w:spacing w:after="34"/>
        <w:ind w:right="879" w:hanging="360"/>
      </w:pPr>
      <w:r>
        <w:rPr>
          <w:b/>
        </w:rPr>
        <w:t>Coursework Workload:</w:t>
      </w:r>
      <w:r>
        <w:t xml:space="preserve"> Students should expect to spend anywhere from 4-8 hours per week on course readings, writing papers, preparing for exams, etc. Students who cannot commit the time required to be successful in the class should NOT take the course. Please note that some weeks will have a greater workload than others.  </w:t>
      </w:r>
    </w:p>
    <w:p w:rsidR="00AB5607" w:rsidRDefault="0038624F">
      <w:pPr>
        <w:numPr>
          <w:ilvl w:val="0"/>
          <w:numId w:val="3"/>
        </w:numPr>
        <w:spacing w:after="39"/>
        <w:ind w:right="879" w:hanging="360"/>
      </w:pPr>
      <w:r>
        <w:rPr>
          <w:b/>
        </w:rPr>
        <w:t>Cheating/Plagiarism:</w:t>
      </w:r>
      <w:r>
        <w:t xml:space="preserve"> Academic dishonestly will be dealt with severely. Please see the “CLAS Academic Dishonesty Policy &amp; CLAS Academic Ethics Policy.”  </w:t>
      </w:r>
    </w:p>
    <w:p w:rsidR="00AB5607" w:rsidRDefault="0038624F">
      <w:pPr>
        <w:numPr>
          <w:ilvl w:val="0"/>
          <w:numId w:val="3"/>
        </w:numPr>
        <w:spacing w:after="37"/>
        <w:ind w:right="879" w:hanging="360"/>
      </w:pPr>
      <w:r>
        <w:rPr>
          <w:b/>
        </w:rPr>
        <w:lastRenderedPageBreak/>
        <w:t>Final Course Grades:</w:t>
      </w:r>
      <w:r>
        <w:t xml:space="preserve"> Final course grades will be calculated based on the grading scale provided on p. 1-2 of the course syllabus and will appear in your records as a letter grade corresponding to the scale below: </w:t>
      </w:r>
    </w:p>
    <w:p w:rsidR="00AB5607" w:rsidRDefault="0038624F">
      <w:pPr>
        <w:numPr>
          <w:ilvl w:val="0"/>
          <w:numId w:val="3"/>
        </w:numPr>
        <w:ind w:right="879" w:hanging="360"/>
      </w:pPr>
      <w:r>
        <w:t xml:space="preserve">94-100% A </w:t>
      </w:r>
    </w:p>
    <w:p w:rsidR="00AB5607" w:rsidRDefault="0038624F">
      <w:pPr>
        <w:numPr>
          <w:ilvl w:val="0"/>
          <w:numId w:val="3"/>
        </w:numPr>
        <w:ind w:right="879" w:hanging="360"/>
      </w:pPr>
      <w:r>
        <w:t xml:space="preserve">90-93% A- </w:t>
      </w:r>
      <w:r>
        <w:rPr>
          <w:rFonts w:ascii="Segoe UI Symbol" w:eastAsia="Segoe UI Symbol" w:hAnsi="Segoe UI Symbol" w:cs="Segoe UI Symbol"/>
        </w:rPr>
        <w:t>•</w:t>
      </w:r>
      <w:r>
        <w:rPr>
          <w:rFonts w:ascii="Arial" w:eastAsia="Arial" w:hAnsi="Arial" w:cs="Arial"/>
        </w:rPr>
        <w:t xml:space="preserve"> </w:t>
      </w:r>
      <w:r>
        <w:t xml:space="preserve">87-89% B+ </w:t>
      </w:r>
    </w:p>
    <w:p w:rsidR="00AB5607" w:rsidRDefault="0038624F">
      <w:pPr>
        <w:numPr>
          <w:ilvl w:val="0"/>
          <w:numId w:val="3"/>
        </w:numPr>
        <w:ind w:right="879" w:hanging="360"/>
      </w:pPr>
      <w:r>
        <w:t xml:space="preserve">84-86% B </w:t>
      </w:r>
    </w:p>
    <w:p w:rsidR="00AB5607" w:rsidRDefault="0038624F">
      <w:pPr>
        <w:numPr>
          <w:ilvl w:val="0"/>
          <w:numId w:val="3"/>
        </w:numPr>
        <w:ind w:right="879" w:hanging="360"/>
      </w:pPr>
      <w:r>
        <w:t xml:space="preserve">80-83% B- </w:t>
      </w:r>
      <w:r>
        <w:rPr>
          <w:rFonts w:ascii="Segoe UI Symbol" w:eastAsia="Segoe UI Symbol" w:hAnsi="Segoe UI Symbol" w:cs="Segoe UI Symbol"/>
        </w:rPr>
        <w:t>•</w:t>
      </w:r>
      <w:r>
        <w:rPr>
          <w:rFonts w:ascii="Arial" w:eastAsia="Arial" w:hAnsi="Arial" w:cs="Arial"/>
        </w:rPr>
        <w:t xml:space="preserve"> </w:t>
      </w:r>
      <w:r>
        <w:t xml:space="preserve">77-79% C+ </w:t>
      </w:r>
    </w:p>
    <w:p w:rsidR="00AB5607" w:rsidRDefault="0038624F">
      <w:pPr>
        <w:numPr>
          <w:ilvl w:val="0"/>
          <w:numId w:val="3"/>
        </w:numPr>
        <w:ind w:right="879" w:hanging="360"/>
      </w:pPr>
      <w:r>
        <w:t>74-76% C</w:t>
      </w:r>
      <w:r>
        <w:rPr>
          <w:sz w:val="22"/>
        </w:rPr>
        <w:t xml:space="preserve"> </w:t>
      </w:r>
    </w:p>
    <w:p w:rsidR="00AB5607" w:rsidRDefault="0038624F">
      <w:pPr>
        <w:numPr>
          <w:ilvl w:val="0"/>
          <w:numId w:val="3"/>
        </w:numPr>
        <w:ind w:right="879" w:hanging="360"/>
      </w:pPr>
      <w:r>
        <w:t xml:space="preserve">70-73% C- </w:t>
      </w:r>
      <w:r>
        <w:rPr>
          <w:rFonts w:ascii="Segoe UI Symbol" w:eastAsia="Segoe UI Symbol" w:hAnsi="Segoe UI Symbol" w:cs="Segoe UI Symbol"/>
        </w:rPr>
        <w:t>•</w:t>
      </w:r>
      <w:r>
        <w:rPr>
          <w:rFonts w:ascii="Arial" w:eastAsia="Arial" w:hAnsi="Arial" w:cs="Arial"/>
        </w:rPr>
        <w:t xml:space="preserve"> </w:t>
      </w:r>
      <w:r>
        <w:t xml:space="preserve">67-69% D+ </w:t>
      </w:r>
    </w:p>
    <w:p w:rsidR="00AB5607" w:rsidRDefault="0038624F">
      <w:pPr>
        <w:numPr>
          <w:ilvl w:val="0"/>
          <w:numId w:val="3"/>
        </w:numPr>
        <w:ind w:right="879" w:hanging="360"/>
      </w:pPr>
      <w:r>
        <w:t xml:space="preserve">64-66% D </w:t>
      </w:r>
    </w:p>
    <w:p w:rsidR="00AB5607" w:rsidRDefault="0038624F">
      <w:pPr>
        <w:numPr>
          <w:ilvl w:val="0"/>
          <w:numId w:val="3"/>
        </w:numPr>
        <w:ind w:right="879" w:hanging="360"/>
      </w:pPr>
      <w:r>
        <w:t xml:space="preserve">60-63% D- </w:t>
      </w:r>
    </w:p>
    <w:p w:rsidR="00AB5607" w:rsidRDefault="0038624F">
      <w:pPr>
        <w:numPr>
          <w:ilvl w:val="0"/>
          <w:numId w:val="3"/>
        </w:numPr>
        <w:ind w:right="879" w:hanging="360"/>
      </w:pPr>
      <w:r>
        <w:t xml:space="preserve">0-59% F </w:t>
      </w:r>
    </w:p>
    <w:p w:rsidR="00AB5607" w:rsidRDefault="0038624F">
      <w:pPr>
        <w:numPr>
          <w:ilvl w:val="0"/>
          <w:numId w:val="3"/>
        </w:numPr>
        <w:ind w:right="879" w:hanging="360"/>
      </w:pPr>
      <w:r>
        <w:t xml:space="preserve">Changes to Syllabus: The instructor reserves the right to change or modify any syllabus content during the semester.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Guaranteed Transfer (GT) Pathways:</w:t>
      </w:r>
      <w:r>
        <w:rPr>
          <w:b/>
        </w:rPr>
        <w:t xml:space="preserve"> </w:t>
      </w:r>
    </w:p>
    <w:p w:rsidR="00AB5607" w:rsidRDefault="0038624F">
      <w:pPr>
        <w:ind w:left="589" w:right="879"/>
      </w:pPr>
      <w:r>
        <w:t xml:space="preserve">“The Colorado Commission on Higher Education has approved HIST 1400 for inclusion in the Guaranteed Transfer (GT) Pathways program in the GT-HI1 category. For transferring students, successful completion with a minimum C- grade guarantees transfer and application of credit in this GT Pathways category. For more information on the GT Pathways program, go to: </w:t>
      </w:r>
    </w:p>
    <w:p w:rsidR="00AB5607" w:rsidRDefault="0038624F">
      <w:pPr>
        <w:spacing w:after="5" w:line="250" w:lineRule="auto"/>
        <w:ind w:left="589"/>
      </w:pPr>
      <w:r>
        <w:rPr>
          <w:color w:val="0463C1"/>
          <w:u w:val="single" w:color="0463C1"/>
        </w:rPr>
        <w:t>http://highered.colorado.gov/academics/transfers/gtpathways/curriculum.html</w:t>
      </w:r>
      <w:r>
        <w:rPr>
          <w:color w:val="0000FF"/>
        </w:rPr>
        <w:t xml:space="preserve"> </w:t>
      </w:r>
    </w:p>
    <w:p w:rsidR="00AB5607" w:rsidRDefault="0038624F">
      <w:pPr>
        <w:spacing w:after="0" w:line="259" w:lineRule="auto"/>
        <w:ind w:left="594" w:firstLine="0"/>
      </w:pPr>
      <w:r>
        <w:rPr>
          <w:color w:val="0000FF"/>
        </w:rPr>
        <w:t xml:space="preserve"> </w:t>
      </w:r>
    </w:p>
    <w:p w:rsidR="00AB5607" w:rsidRDefault="0038624F">
      <w:pPr>
        <w:spacing w:line="259" w:lineRule="auto"/>
        <w:ind w:left="589"/>
      </w:pPr>
      <w:r>
        <w:rPr>
          <w:b/>
          <w:u w:val="single" w:color="000000"/>
        </w:rPr>
        <w:t>Additional GT Pathways Student Learning Outcomes:</w:t>
      </w:r>
      <w:r>
        <w:rPr>
          <w:b/>
        </w:rPr>
        <w:t xml:space="preserve"> </w:t>
      </w:r>
    </w:p>
    <w:p w:rsidR="00AB5607" w:rsidRDefault="0038624F">
      <w:pPr>
        <w:ind w:left="589" w:right="879"/>
      </w:pPr>
      <w:r>
        <w:t xml:space="preserve">GT Pathways Competency in Critical Thinking: Competency in critical thinking addresses a student’s ability to analyze information and ideas from multiple perspectives and articulate an argument or an opinion or a conclusion based on their analysis. </w:t>
      </w:r>
    </w:p>
    <w:p w:rsidR="00AB5607" w:rsidRDefault="0038624F">
      <w:pPr>
        <w:spacing w:after="0" w:line="259" w:lineRule="auto"/>
        <w:ind w:left="594" w:firstLine="0"/>
      </w:pPr>
      <w:r>
        <w:t xml:space="preserve"> </w:t>
      </w:r>
    </w:p>
    <w:p w:rsidR="00AB5607" w:rsidRDefault="0038624F">
      <w:pPr>
        <w:ind w:left="589" w:right="879"/>
      </w:pPr>
      <w:r>
        <w:t xml:space="preserve">Students should be able to: </w:t>
      </w:r>
    </w:p>
    <w:p w:rsidR="00AB5607" w:rsidRDefault="0038624F">
      <w:pPr>
        <w:numPr>
          <w:ilvl w:val="0"/>
          <w:numId w:val="4"/>
        </w:numPr>
        <w:ind w:right="879" w:hanging="240"/>
      </w:pPr>
      <w:r>
        <w:t xml:space="preserve">Formulate an Argument (required for GT – HI1) </w:t>
      </w:r>
    </w:p>
    <w:p w:rsidR="00AB5607" w:rsidRDefault="0038624F">
      <w:pPr>
        <w:numPr>
          <w:ilvl w:val="2"/>
          <w:numId w:val="5"/>
        </w:numPr>
        <w:ind w:right="879" w:hanging="240"/>
      </w:pPr>
      <w:r>
        <w:t xml:space="preserve">Ask a question relevant to the discipline </w:t>
      </w:r>
    </w:p>
    <w:p w:rsidR="00AB5607" w:rsidRDefault="0038624F">
      <w:pPr>
        <w:numPr>
          <w:ilvl w:val="2"/>
          <w:numId w:val="5"/>
        </w:numPr>
        <w:ind w:right="879" w:hanging="240"/>
      </w:pPr>
      <w:r>
        <w:t xml:space="preserve">Synthesize perspectives that answer it </w:t>
      </w:r>
    </w:p>
    <w:p w:rsidR="00AB5607" w:rsidRDefault="0038624F">
      <w:pPr>
        <w:numPr>
          <w:ilvl w:val="2"/>
          <w:numId w:val="5"/>
        </w:numPr>
        <w:ind w:right="879" w:hanging="240"/>
      </w:pPr>
      <w:r>
        <w:t xml:space="preserve">Take a specific position </w:t>
      </w:r>
    </w:p>
    <w:p w:rsidR="00AB5607" w:rsidRDefault="0038624F">
      <w:pPr>
        <w:numPr>
          <w:ilvl w:val="0"/>
          <w:numId w:val="4"/>
        </w:numPr>
        <w:ind w:right="879" w:hanging="240"/>
      </w:pPr>
      <w:r>
        <w:t xml:space="preserve">Incorporate Evidence (required for GT – HI1) </w:t>
      </w:r>
    </w:p>
    <w:p w:rsidR="00AB5607" w:rsidRDefault="0038624F">
      <w:pPr>
        <w:ind w:left="589" w:right="3032"/>
      </w:pPr>
      <w:r>
        <w:t xml:space="preserve"> </w:t>
      </w:r>
      <w:r>
        <w:tab/>
        <w:t xml:space="preserve">a. Interpret/evaluate sources to develop an analysis or synthesis 3. Understand Implications and Make Conclusions (required for GT – HI1) </w:t>
      </w:r>
    </w:p>
    <w:p w:rsidR="00AB5607" w:rsidRDefault="0038624F">
      <w:pPr>
        <w:numPr>
          <w:ilvl w:val="1"/>
          <w:numId w:val="6"/>
        </w:numPr>
        <w:ind w:right="879" w:hanging="240"/>
      </w:pPr>
      <w:r>
        <w:t xml:space="preserve">Establish a conclusion that is tied to the range of information presented </w:t>
      </w:r>
    </w:p>
    <w:p w:rsidR="00AB5607" w:rsidRDefault="0038624F">
      <w:pPr>
        <w:numPr>
          <w:ilvl w:val="1"/>
          <w:numId w:val="6"/>
        </w:numPr>
        <w:ind w:right="879" w:hanging="240"/>
      </w:pPr>
      <w:r>
        <w:t xml:space="preserve">Reflect on implications and consequences of stated conclusion </w:t>
      </w:r>
    </w:p>
    <w:p w:rsidR="00AB5607" w:rsidRDefault="0038624F">
      <w:pPr>
        <w:spacing w:after="0" w:line="259" w:lineRule="auto"/>
        <w:ind w:left="594" w:firstLine="0"/>
      </w:pPr>
      <w:r>
        <w:t xml:space="preserve"> </w:t>
      </w:r>
    </w:p>
    <w:p w:rsidR="00AB5607" w:rsidRDefault="0038624F">
      <w:pPr>
        <w:ind w:left="589" w:right="879"/>
      </w:pPr>
      <w:r>
        <w:t xml:space="preserve">GT Pathways Competency in Information Literacy: Information literacy refers to the set of skills needed to find, retrieve, analyze, and use information. Competency in information literacy represents a student’s ability to know when there is a need for information, to be able to identify, locate, evaluate, and effectively and responsibly use that information for the task or problem at hand. </w:t>
      </w:r>
    </w:p>
    <w:p w:rsidR="00AB5607" w:rsidRDefault="0038624F">
      <w:pPr>
        <w:spacing w:after="0" w:line="259" w:lineRule="auto"/>
        <w:ind w:left="594" w:firstLine="0"/>
      </w:pPr>
      <w:r>
        <w:t xml:space="preserve"> </w:t>
      </w:r>
    </w:p>
    <w:p w:rsidR="00AB5607" w:rsidRDefault="0038624F">
      <w:pPr>
        <w:ind w:left="589" w:right="879"/>
      </w:pPr>
      <w:r>
        <w:t xml:space="preserve">Students should be able to: </w:t>
      </w:r>
    </w:p>
    <w:p w:rsidR="00AB5607" w:rsidRDefault="0038624F">
      <w:pPr>
        <w:numPr>
          <w:ilvl w:val="1"/>
          <w:numId w:val="4"/>
        </w:numPr>
        <w:ind w:right="879" w:hanging="240"/>
      </w:pPr>
      <w:r>
        <w:t xml:space="preserve">Evaluate Information Critically (required for GT – HI1) </w:t>
      </w:r>
    </w:p>
    <w:p w:rsidR="00AB5607" w:rsidRDefault="0038624F">
      <w:pPr>
        <w:numPr>
          <w:ilvl w:val="2"/>
          <w:numId w:val="4"/>
        </w:numPr>
        <w:ind w:left="806" w:right="879" w:hanging="227"/>
      </w:pPr>
      <w:r>
        <w:t xml:space="preserve">Utilize a variety of information sources appropriate to the scope and discipline    </w:t>
      </w:r>
      <w:r>
        <w:tab/>
        <w:t xml:space="preserve">     of the research question </w:t>
      </w:r>
    </w:p>
    <w:p w:rsidR="00AB5607" w:rsidRDefault="0038624F">
      <w:pPr>
        <w:numPr>
          <w:ilvl w:val="2"/>
          <w:numId w:val="4"/>
        </w:numPr>
        <w:ind w:left="806" w:right="879" w:hanging="227"/>
      </w:pPr>
      <w:r>
        <w:lastRenderedPageBreak/>
        <w:t xml:space="preserve">Consider the importance of multiple criteria, such as relevance to the research  </w:t>
      </w:r>
      <w:r>
        <w:tab/>
        <w:t xml:space="preserve"> </w:t>
      </w:r>
      <w:r>
        <w:tab/>
        <w:t xml:space="preserve">    question, currency, authority, audience, and bias</w:t>
      </w:r>
      <w:r w:rsidR="005D39FC">
        <w:t xml:space="preserve"> or point of view, when</w:t>
      </w:r>
      <w:r>
        <w:t xml:space="preserve"> evaluating information source </w:t>
      </w:r>
    </w:p>
    <w:p w:rsidR="00AB5607" w:rsidRDefault="0038624F">
      <w:pPr>
        <w:numPr>
          <w:ilvl w:val="1"/>
          <w:numId w:val="4"/>
        </w:numPr>
        <w:ind w:right="879" w:hanging="240"/>
      </w:pPr>
      <w:r>
        <w:t xml:space="preserve">Use Information Effectively to Accomplish a Specific Purpose (required for GT – HI1) </w:t>
      </w:r>
    </w:p>
    <w:p w:rsidR="00AB5607" w:rsidRDefault="0038624F">
      <w:pPr>
        <w:numPr>
          <w:ilvl w:val="2"/>
          <w:numId w:val="4"/>
        </w:numPr>
        <w:ind w:left="806" w:right="879" w:hanging="227"/>
      </w:pPr>
      <w:r>
        <w:t xml:space="preserve">Synthesize information from sources to fully achieve a specific purpose </w:t>
      </w:r>
    </w:p>
    <w:p w:rsidR="00AB5607" w:rsidRDefault="0038624F">
      <w:pPr>
        <w:numPr>
          <w:ilvl w:val="0"/>
          <w:numId w:val="4"/>
        </w:numPr>
        <w:ind w:right="879" w:hanging="240"/>
      </w:pPr>
      <w:r>
        <w:t xml:space="preserve">Use Information Ethically and Legally (required for GT – HI1) </w:t>
      </w:r>
    </w:p>
    <w:p w:rsidR="00AB5607" w:rsidRDefault="0038624F">
      <w:pPr>
        <w:ind w:left="589" w:right="879"/>
      </w:pPr>
      <w:r>
        <w:t xml:space="preserve"> </w:t>
      </w:r>
      <w:r>
        <w:tab/>
        <w:t xml:space="preserve"> </w:t>
      </w:r>
      <w:r>
        <w:tab/>
        <w:t xml:space="preserve">a. Demonstrate a full understanding of the ethical and legal restrictions on the use   </w:t>
      </w:r>
      <w:r>
        <w:tab/>
        <w:t xml:space="preserve"> </w:t>
      </w:r>
      <w:r>
        <w:tab/>
        <w:t xml:space="preserve">    of information from a variety of sources through correct citation practices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Student Code of Conduct</w:t>
      </w:r>
      <w:r>
        <w:rPr>
          <w:b/>
        </w:rPr>
        <w:t xml:space="preserve"> </w:t>
      </w:r>
    </w:p>
    <w:p w:rsidR="00AB5607" w:rsidRDefault="0038624F">
      <w:pPr>
        <w:ind w:left="589" w:right="879"/>
      </w:pPr>
      <w:r>
        <w:t xml:space="preserve">All students in this course are required to know, understand, and comply with the Student Code of Conduct. A copy of the code can be found here: </w:t>
      </w:r>
    </w:p>
    <w:p w:rsidR="00AB5607" w:rsidRDefault="0038624F">
      <w:pPr>
        <w:spacing w:after="5" w:line="250" w:lineRule="auto"/>
        <w:ind w:left="589"/>
      </w:pPr>
      <w:r>
        <w:rPr>
          <w:color w:val="0463C1"/>
          <w:u w:val="single" w:color="0463C1"/>
        </w:rPr>
        <w:t>http://www.ucdenver.edu/life/services/standards/Documents/CUDenver-CodeofConduct.pdf</w:t>
      </w:r>
      <w:r>
        <w:t xml:space="preserve">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CLAS Academic Dishonesty Policy &amp; CLAS Academic Ethics Policy:</w:t>
      </w:r>
      <w:r>
        <w:rPr>
          <w:b/>
        </w:rPr>
        <w:t xml:space="preserve"> </w:t>
      </w:r>
    </w:p>
    <w:p w:rsidR="00AB5607" w:rsidRDefault="0038624F">
      <w:pPr>
        <w:ind w:left="589" w:right="879"/>
      </w:pPr>
      <w:r>
        <w:t xml:space="preserve">Students are required to know, understand, and comply with the CU Denver Academic Dishonesty Policy as detailed in the Catalog and on the CLAS website. Academic dishonesty consists of plagiarism, cheating, fabrication and falsification, multiple submission of the same work, misuse of academic materials, and complicity in academic dishonesty. If you are not familiar with the definitions of these offenses, go to </w:t>
      </w:r>
    </w:p>
    <w:p w:rsidR="00AB5607" w:rsidRDefault="0038624F">
      <w:pPr>
        <w:ind w:left="589" w:right="879"/>
      </w:pPr>
      <w:r>
        <w:rPr>
          <w:color w:val="0463C1"/>
          <w:u w:val="single" w:color="0463C1"/>
        </w:rPr>
        <w:t>http://www.ucdenver.edu/academics/colleges/CLAS/facultystaff/policies/Pages/DefinitionofAca demicDishonesty.aspx</w:t>
      </w:r>
      <w:r>
        <w:t xml:space="preserve">. This course assumes your knowledge of these policies and definitions. Failure to adhere to them can result in possible penalties ranging from failure of this course to dismissal from the University. Likewise, students who fail to comply with the UC Denver CLAS Academic Ethics Policy are subject to disciplinary action as set forth by the College policy. For more information regarding the Academic Ethics Committee policies and procedures, please refer to </w:t>
      </w:r>
    </w:p>
    <w:p w:rsidR="00AB5607" w:rsidRDefault="0038624F">
      <w:pPr>
        <w:ind w:left="589" w:right="879"/>
      </w:pPr>
      <w:r>
        <w:rPr>
          <w:color w:val="0463C1"/>
          <w:u w:val="single" w:color="0463C1"/>
        </w:rPr>
        <w:t>http://ucdenver.edu/academics/colleges/CLAS/facultystaff/policies/Pages/HandlingAcademicDis honesty.aspx</w:t>
      </w:r>
      <w:r>
        <w:t xml:space="preserve">. Please be informed of these policies and be careful. If any of these policies are unclear to you, please ask your instructor. Remember: do your own work, give credit to any individuals whose statements, opinions, and ideas you cite in your papers, essays, etc., and when in doubt, consult your instructor.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Incomplete Policy:</w:t>
      </w:r>
      <w:r>
        <w:rPr>
          <w:b/>
        </w:rPr>
        <w:t xml:space="preserve"> </w:t>
      </w:r>
    </w:p>
    <w:p w:rsidR="00AB5607" w:rsidRDefault="0038624F">
      <w:pPr>
        <w:ind w:left="589" w:right="879"/>
      </w:pPr>
      <w:r>
        <w:t xml:space="preserve">Incomplete grades are </w:t>
      </w:r>
      <w:r>
        <w:rPr>
          <w:b/>
          <w:u w:val="single" w:color="000000"/>
        </w:rPr>
        <w:t>NOT</w:t>
      </w:r>
      <w:r>
        <w:t xml:space="preserve"> granted for low academic performance. To be eligible for an </w:t>
      </w:r>
      <w:proofErr w:type="gramStart"/>
      <w:r>
        <w:t>Incomplete</w:t>
      </w:r>
      <w:proofErr w:type="gramEnd"/>
      <w:r>
        <w:t xml:space="preserve"> grade, students </w:t>
      </w:r>
      <w:r>
        <w:rPr>
          <w:b/>
          <w:u w:val="single" w:color="000000"/>
        </w:rPr>
        <w:t>MUST</w:t>
      </w:r>
      <w:r>
        <w:t xml:space="preserve">: </w:t>
      </w:r>
    </w:p>
    <w:p w:rsidR="00AB5607" w:rsidRDefault="0038624F">
      <w:pPr>
        <w:numPr>
          <w:ilvl w:val="0"/>
          <w:numId w:val="7"/>
        </w:numPr>
        <w:ind w:right="879" w:hanging="240"/>
      </w:pPr>
      <w:r>
        <w:t xml:space="preserve">Successfully complete a minimum of 75% of the course </w:t>
      </w:r>
    </w:p>
    <w:p w:rsidR="00AB5607" w:rsidRDefault="0038624F">
      <w:pPr>
        <w:numPr>
          <w:ilvl w:val="0"/>
          <w:numId w:val="7"/>
        </w:numPr>
        <w:ind w:right="879" w:hanging="240"/>
      </w:pPr>
      <w:r>
        <w:t xml:space="preserve">Have special circumstances beyond their control that preclude them from attending     </w:t>
      </w:r>
      <w:r>
        <w:tab/>
        <w:t xml:space="preserve">    class and completing graded assignments </w:t>
      </w:r>
    </w:p>
    <w:p w:rsidR="00AB5607" w:rsidRDefault="0038624F">
      <w:pPr>
        <w:numPr>
          <w:ilvl w:val="0"/>
          <w:numId w:val="7"/>
        </w:numPr>
        <w:ind w:right="879" w:hanging="240"/>
      </w:pPr>
      <w:r>
        <w:t xml:space="preserve">Make arrangements to complete missing assignments with the original instructor.   </w:t>
      </w:r>
      <w:r>
        <w:tab/>
        <w:t xml:space="preserve">    Verification of special circumstances is required. </w:t>
      </w:r>
    </w:p>
    <w:p w:rsidR="00AB5607" w:rsidRDefault="0038624F">
      <w:pPr>
        <w:ind w:left="589" w:right="879"/>
      </w:pPr>
      <w:r>
        <w:t xml:space="preserve"> </w:t>
      </w:r>
      <w:r>
        <w:tab/>
        <w:t xml:space="preserve">***Please note that all students who wish to receive an </w:t>
      </w:r>
      <w:proofErr w:type="gramStart"/>
      <w:r>
        <w:t>Incomplete</w:t>
      </w:r>
      <w:proofErr w:type="gramEnd"/>
      <w:r>
        <w:t xml:space="preserve"> grade will be required by the instructor to sign a Course Completion Agreement: </w:t>
      </w:r>
      <w:r>
        <w:rPr>
          <w:color w:val="0463C1"/>
          <w:u w:val="single" w:color="0463C1"/>
        </w:rPr>
        <w:t>https://clas.ucdenver.edu/faculty-</w:t>
      </w:r>
    </w:p>
    <w:p w:rsidR="00AB5607" w:rsidRDefault="0038624F">
      <w:pPr>
        <w:spacing w:after="5" w:line="250" w:lineRule="auto"/>
        <w:ind w:left="589" w:right="2400"/>
      </w:pPr>
      <w:r>
        <w:rPr>
          <w:color w:val="0463C1"/>
          <w:u w:val="single" w:color="0463C1"/>
        </w:rPr>
        <w:t>staff/sites/default/files/attached-files/incomplete_form_rev._5.17.pdf</w:t>
      </w:r>
      <w:r>
        <w:t xml:space="preserve"> Incompletes </w:t>
      </w:r>
      <w:r>
        <w:rPr>
          <w:b/>
          <w:u w:val="single" w:color="000000"/>
        </w:rPr>
        <w:t>CANNOT</w:t>
      </w:r>
      <w:r>
        <w:t xml:space="preserve">: </w:t>
      </w:r>
    </w:p>
    <w:p w:rsidR="00AB5607" w:rsidRDefault="0038624F">
      <w:pPr>
        <w:numPr>
          <w:ilvl w:val="0"/>
          <w:numId w:val="8"/>
        </w:numPr>
        <w:ind w:right="879" w:hanging="240"/>
      </w:pPr>
      <w:r>
        <w:t xml:space="preserve">Require a student to repeat the entire course </w:t>
      </w:r>
    </w:p>
    <w:p w:rsidR="00AB5607" w:rsidRDefault="0038624F">
      <w:pPr>
        <w:numPr>
          <w:ilvl w:val="0"/>
          <w:numId w:val="8"/>
        </w:numPr>
        <w:ind w:right="879" w:hanging="240"/>
      </w:pPr>
      <w:r>
        <w:t xml:space="preserve">Repeat or replace existing grades </w:t>
      </w:r>
    </w:p>
    <w:p w:rsidR="00AB5607" w:rsidRDefault="0038624F">
      <w:pPr>
        <w:numPr>
          <w:ilvl w:val="0"/>
          <w:numId w:val="8"/>
        </w:numPr>
        <w:ind w:right="879" w:hanging="240"/>
      </w:pPr>
      <w:r>
        <w:t xml:space="preserve">Allow the student an indeterminate period of time to complete a course </w:t>
      </w:r>
    </w:p>
    <w:p w:rsidR="00AB5607" w:rsidRDefault="0038624F">
      <w:pPr>
        <w:numPr>
          <w:ilvl w:val="0"/>
          <w:numId w:val="8"/>
        </w:numPr>
        <w:ind w:right="879" w:hanging="240"/>
      </w:pPr>
      <w:r>
        <w:t xml:space="preserve">Allow the student to repeat the course with a different instructor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Disability Accommodations:</w:t>
      </w:r>
      <w:r>
        <w:rPr>
          <w:b/>
        </w:rPr>
        <w:t xml:space="preserve"> </w:t>
      </w:r>
    </w:p>
    <w:p w:rsidR="00AB5607" w:rsidRDefault="0038624F">
      <w:pPr>
        <w:ind w:left="589" w:right="879"/>
      </w:pPr>
      <w:r>
        <w:lastRenderedPageBreak/>
        <w:t xml:space="preserve">To be eligible for accommodations, students must be registered with the Office of Disability Resources and Services (DRS). Any student given accommodations by DRS will receive these accommodations in our class. If a student chooses not to accept the accommodations set forth by the DRS, they MUST complete all assignments and do all course work in the same manner as all other students. You instructor cannot make any exceptions or provide alternative forms of evaluation, except those mandated by the DRS.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Religious Holiday Accommodations:</w:t>
      </w:r>
      <w:r>
        <w:rPr>
          <w:b/>
        </w:rPr>
        <w:t xml:space="preserve"> </w:t>
      </w:r>
    </w:p>
    <w:p w:rsidR="00AB5607" w:rsidRDefault="0038624F">
      <w:pPr>
        <w:ind w:left="589" w:right="879"/>
      </w:pPr>
      <w:r>
        <w:t xml:space="preserve">At the beginning of the semester, please privately consult your instructor regarding any religious holiday accommodations you may need, including possible conflicts that would necessitate establishing alternative due dates for any papers or exams. I am happy to work with you regarding such accommodations.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Academic Freedom:</w:t>
      </w:r>
      <w:r>
        <w:rPr>
          <w:b/>
        </w:rPr>
        <w:t xml:space="preserve"> </w:t>
      </w:r>
    </w:p>
    <w:p w:rsidR="00AB5607" w:rsidRDefault="0038624F">
      <w:pPr>
        <w:ind w:left="589" w:right="879"/>
      </w:pPr>
      <w:r>
        <w:t xml:space="preserve">Academic freedom is essential not only to examine controversial issues in an objective manner in the classroom, but also to insure access to information sources required for study of such issues. The intellectual search for transmission of knowledge should go forward in an atmosphere free from fear of reprisal, while providing opportunities for critical thinking and understanding of conflicting viewpoints. In order that special interests or conflicting public opinion not impede the educational process, instructors and students must be free to investigate, to form conclusions, and to express judgments and opinions. </w:t>
      </w:r>
    </w:p>
    <w:p w:rsidR="00AB5607" w:rsidRDefault="0038624F">
      <w:pPr>
        <w:spacing w:after="0" w:line="259" w:lineRule="auto"/>
        <w:ind w:left="594" w:firstLine="0"/>
      </w:pPr>
      <w:r>
        <w:t xml:space="preserve"> </w:t>
      </w:r>
    </w:p>
    <w:p w:rsidR="00AB5607" w:rsidRDefault="0038624F">
      <w:pPr>
        <w:spacing w:line="259" w:lineRule="auto"/>
        <w:ind w:left="589"/>
      </w:pPr>
      <w:r>
        <w:rPr>
          <w:b/>
          <w:u w:val="single" w:color="000000"/>
        </w:rPr>
        <w:t>Safe Learning Environment:</w:t>
      </w:r>
      <w:r>
        <w:rPr>
          <w:b/>
        </w:rPr>
        <w:t xml:space="preserve"> </w:t>
      </w:r>
    </w:p>
    <w:p w:rsidR="00AB5607" w:rsidRDefault="0038624F">
      <w:pPr>
        <w:ind w:left="589" w:right="1199"/>
      </w:pPr>
      <w:r>
        <w:t xml:space="preserve">In history, we often wrestle with controversial topics, and, as a result, heated debates ensue. I welcome lively discussions, but I will not tolerate any inappropriate behavior including harassment, bullying, discrimination, ridicule of others’ statements, ideas, opinions, etc. in my class. Students are expected to behave professionally and respectfully to each other and to the instructor at all times in both face-to-face interactions in the classroom, during office hours, etc. and via all electronic communication (e.g. emails, Canvas messages, etc.). </w:t>
      </w: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5D39FC" w:rsidRDefault="005D39FC">
      <w:pPr>
        <w:ind w:left="589" w:right="1199"/>
      </w:pPr>
    </w:p>
    <w:p w:rsidR="005D39FC" w:rsidRDefault="005D39FC">
      <w:pPr>
        <w:ind w:left="589" w:right="1199"/>
      </w:pPr>
    </w:p>
    <w:p w:rsidR="005D39FC" w:rsidRDefault="005D39FC">
      <w:pPr>
        <w:ind w:left="589" w:right="1199"/>
      </w:pPr>
    </w:p>
    <w:p w:rsidR="00584016" w:rsidRDefault="00584016">
      <w:pPr>
        <w:ind w:left="589" w:right="1199"/>
      </w:pPr>
    </w:p>
    <w:p w:rsidR="00584016" w:rsidRDefault="00584016">
      <w:pPr>
        <w:ind w:left="589" w:right="1199"/>
      </w:pPr>
    </w:p>
    <w:p w:rsidR="00584016" w:rsidRDefault="00584016">
      <w:pPr>
        <w:ind w:left="589" w:right="1199"/>
      </w:pPr>
    </w:p>
    <w:p w:rsidR="00AB5607" w:rsidRDefault="0038624F">
      <w:pPr>
        <w:pStyle w:val="Heading1"/>
        <w:ind w:left="74" w:right="71"/>
      </w:pPr>
      <w:r>
        <w:lastRenderedPageBreak/>
        <w:t>Questions? Ask Lynx Center –</w:t>
      </w:r>
      <w:hyperlink r:id="rId5">
        <w:r>
          <w:t xml:space="preserve"> </w:t>
        </w:r>
      </w:hyperlink>
      <w:hyperlink r:id="rId6">
        <w:r>
          <w:rPr>
            <w:color w:val="0563C1"/>
            <w:u w:val="single" w:color="0563C1"/>
          </w:rPr>
          <w:t>ucdenver.edu/</w:t>
        </w:r>
        <w:proofErr w:type="spellStart"/>
        <w:r>
          <w:rPr>
            <w:color w:val="0563C1"/>
            <w:u w:val="single" w:color="0563C1"/>
          </w:rPr>
          <w:t>lynxcenter</w:t>
        </w:r>
        <w:proofErr w:type="spellEnd"/>
      </w:hyperlink>
      <w:hyperlink r:id="rId7">
        <w:r>
          <w:t xml:space="preserve"> </w:t>
        </w:r>
      </w:hyperlink>
    </w:p>
    <w:p w:rsidR="00AB5607" w:rsidRDefault="0038624F">
      <w:pPr>
        <w:pBdr>
          <w:top w:val="single" w:sz="6" w:space="0" w:color="000000"/>
          <w:left w:val="single" w:sz="6" w:space="0" w:color="000000"/>
          <w:bottom w:val="single" w:sz="6" w:space="0" w:color="000000"/>
          <w:right w:val="single" w:sz="6" w:space="0" w:color="000000"/>
        </w:pBdr>
        <w:spacing w:after="331" w:line="259" w:lineRule="auto"/>
        <w:ind w:left="74" w:right="71" w:firstLine="0"/>
      </w:pPr>
      <w:r>
        <w:rPr>
          <w:rFonts w:ascii="Arial" w:eastAsia="Arial" w:hAnsi="Arial" w:cs="Arial"/>
          <w:b/>
          <w:sz w:val="27"/>
        </w:rPr>
        <w:t xml:space="preserve">Student Commons 1st floor - 303-315-5969 </w:t>
      </w:r>
      <w:proofErr w:type="gramStart"/>
      <w:r>
        <w:rPr>
          <w:rFonts w:ascii="Arial" w:eastAsia="Arial" w:hAnsi="Arial" w:cs="Arial"/>
          <w:b/>
          <w:sz w:val="27"/>
        </w:rPr>
        <w:t>-  lynxcenter@ucdenver.edu</w:t>
      </w:r>
      <w:proofErr w:type="gramEnd"/>
      <w:r>
        <w:rPr>
          <w:rFonts w:ascii="Arial" w:eastAsia="Arial" w:hAnsi="Arial" w:cs="Arial"/>
          <w:b/>
          <w:sz w:val="27"/>
        </w:rPr>
        <w:t xml:space="preserve"> </w:t>
      </w:r>
    </w:p>
    <w:tbl>
      <w:tblPr>
        <w:tblStyle w:val="TableGrid"/>
        <w:tblpPr w:vertAnchor="text" w:tblpX="5" w:tblpY="405"/>
        <w:tblOverlap w:val="never"/>
        <w:tblW w:w="4352" w:type="dxa"/>
        <w:tblInd w:w="0" w:type="dxa"/>
        <w:tblCellMar>
          <w:left w:w="115" w:type="dxa"/>
          <w:right w:w="115" w:type="dxa"/>
        </w:tblCellMar>
        <w:tblLook w:val="04A0" w:firstRow="1" w:lastRow="0" w:firstColumn="1" w:lastColumn="0" w:noHBand="0" w:noVBand="1"/>
      </w:tblPr>
      <w:tblGrid>
        <w:gridCol w:w="4352"/>
      </w:tblGrid>
      <w:tr w:rsidR="00AB5607">
        <w:trPr>
          <w:trHeight w:val="1754"/>
        </w:trPr>
        <w:tc>
          <w:tcPr>
            <w:tcW w:w="4352" w:type="dxa"/>
            <w:tcBorders>
              <w:top w:val="single" w:sz="4" w:space="0" w:color="000000"/>
              <w:left w:val="single" w:sz="4" w:space="0" w:color="000000"/>
              <w:bottom w:val="single" w:sz="4" w:space="0" w:color="000000"/>
              <w:right w:val="single" w:sz="4" w:space="0" w:color="000000"/>
            </w:tcBorders>
          </w:tcPr>
          <w:p w:rsidR="00AB5607" w:rsidRDefault="0038624F">
            <w:pPr>
              <w:spacing w:after="0" w:line="259" w:lineRule="auto"/>
              <w:ind w:left="0" w:firstLine="0"/>
              <w:jc w:val="center"/>
            </w:pPr>
            <w:r>
              <w:rPr>
                <w:rFonts w:ascii="Arial" w:eastAsia="Arial" w:hAnsi="Arial" w:cs="Arial"/>
                <w:b/>
                <w:sz w:val="20"/>
              </w:rPr>
              <w:t xml:space="preserve">CARE Team is there for you </w:t>
            </w:r>
          </w:p>
          <w:p w:rsidR="00AB5607" w:rsidRDefault="0038624F">
            <w:pPr>
              <w:spacing w:after="3" w:line="224" w:lineRule="auto"/>
              <w:ind w:left="550" w:right="551" w:firstLine="0"/>
              <w:jc w:val="center"/>
            </w:pPr>
            <w:r>
              <w:rPr>
                <w:rFonts w:ascii="Arial" w:eastAsia="Arial" w:hAnsi="Arial" w:cs="Arial"/>
                <w:b/>
                <w:sz w:val="20"/>
              </w:rPr>
              <w:t xml:space="preserve">Call 303-352-3579 if you  or a classmate needs extra help </w:t>
            </w:r>
          </w:p>
          <w:p w:rsidR="00AB5607" w:rsidRDefault="0038624F">
            <w:pPr>
              <w:spacing w:after="0" w:line="225" w:lineRule="auto"/>
              <w:ind w:left="0" w:firstLine="0"/>
              <w:jc w:val="center"/>
            </w:pPr>
            <w:r>
              <w:rPr>
                <w:rFonts w:ascii="Arial" w:eastAsia="Arial" w:hAnsi="Arial" w:cs="Arial"/>
                <w:sz w:val="20"/>
              </w:rPr>
              <w:t xml:space="preserve">Submit a concern at </w:t>
            </w:r>
            <w:r>
              <w:rPr>
                <w:rFonts w:ascii="Calibri" w:eastAsia="Calibri" w:hAnsi="Calibri" w:cs="Calibri"/>
                <w:color w:val="0563C1"/>
                <w:sz w:val="20"/>
              </w:rPr>
              <w:t xml:space="preserve"> </w:t>
            </w:r>
            <w:hyperlink r:id="rId8">
              <w:r>
                <w:rPr>
                  <w:rFonts w:ascii="Calibri" w:eastAsia="Calibri" w:hAnsi="Calibri" w:cs="Calibri"/>
                  <w:b/>
                  <w:color w:val="0563C1"/>
                  <w:sz w:val="22"/>
                  <w:u w:val="single" w:color="0563C1"/>
                </w:rPr>
                <w:t>http://www.u</w:t>
              </w:r>
            </w:hyperlink>
            <w:hyperlink r:id="rId9">
              <w:r>
                <w:rPr>
                  <w:rFonts w:ascii="Arial" w:eastAsia="Arial" w:hAnsi="Arial" w:cs="Arial"/>
                  <w:b/>
                  <w:color w:val="0563C1"/>
                  <w:sz w:val="20"/>
                  <w:u w:val="single" w:color="0563C1"/>
                </w:rPr>
                <w:t>cdenver.edu/care</w:t>
              </w:r>
            </w:hyperlink>
            <w:hyperlink r:id="rId10">
              <w:r>
                <w:rPr>
                  <w:rFonts w:ascii="Arial" w:eastAsia="Arial" w:hAnsi="Arial" w:cs="Arial"/>
                  <w:b/>
                  <w:sz w:val="20"/>
                </w:rPr>
                <w:t xml:space="preserve"> </w:t>
              </w:r>
            </w:hyperlink>
            <w:r>
              <w:rPr>
                <w:rFonts w:ascii="Arial" w:eastAsia="Arial" w:hAnsi="Arial" w:cs="Arial"/>
                <w:b/>
                <w:sz w:val="20"/>
              </w:rPr>
              <w:t xml:space="preserve">   </w:t>
            </w:r>
          </w:p>
          <w:p w:rsidR="00AB5607" w:rsidRDefault="0038624F">
            <w:pPr>
              <w:spacing w:after="0" w:line="259" w:lineRule="auto"/>
              <w:ind w:left="58" w:firstLine="0"/>
              <w:jc w:val="center"/>
            </w:pPr>
            <w:r>
              <w:rPr>
                <w:rFonts w:ascii="Arial" w:eastAsia="Arial" w:hAnsi="Arial" w:cs="Arial"/>
                <w:b/>
                <w:sz w:val="20"/>
              </w:rPr>
              <w:t xml:space="preserve"> </w:t>
            </w:r>
          </w:p>
          <w:p w:rsidR="00AB5607" w:rsidRDefault="0038624F">
            <w:pPr>
              <w:spacing w:after="0" w:line="259" w:lineRule="auto"/>
              <w:ind w:left="1" w:firstLine="0"/>
              <w:jc w:val="center"/>
            </w:pPr>
            <w:r>
              <w:rPr>
                <w:rFonts w:ascii="Arial" w:eastAsia="Arial" w:hAnsi="Arial" w:cs="Arial"/>
                <w:b/>
                <w:sz w:val="20"/>
              </w:rPr>
              <w:t xml:space="preserve">Call 911 in case of emergency </w:t>
            </w:r>
          </w:p>
          <w:p w:rsidR="00AB5607" w:rsidRDefault="0038624F">
            <w:pPr>
              <w:spacing w:after="0" w:line="259" w:lineRule="auto"/>
              <w:ind w:left="0" w:right="2" w:firstLine="0"/>
              <w:jc w:val="center"/>
            </w:pPr>
            <w:proofErr w:type="spellStart"/>
            <w:r>
              <w:rPr>
                <w:rFonts w:ascii="Arial" w:eastAsia="Arial" w:hAnsi="Arial" w:cs="Arial"/>
                <w:sz w:val="20"/>
              </w:rPr>
              <w:t>Auraria</w:t>
            </w:r>
            <w:proofErr w:type="spellEnd"/>
            <w:r>
              <w:rPr>
                <w:rFonts w:ascii="Arial" w:eastAsia="Arial" w:hAnsi="Arial" w:cs="Arial"/>
                <w:sz w:val="20"/>
              </w:rPr>
              <w:t xml:space="preserve"> Campus Police: 303-556-5000</w:t>
            </w:r>
            <w:r>
              <w:rPr>
                <w:rFonts w:ascii="Arial" w:eastAsia="Arial" w:hAnsi="Arial" w:cs="Arial"/>
                <w:b/>
                <w:sz w:val="20"/>
              </w:rPr>
              <w:t xml:space="preserve"> </w:t>
            </w:r>
          </w:p>
        </w:tc>
      </w:tr>
    </w:tbl>
    <w:p w:rsidR="00AB5607" w:rsidRDefault="0038624F">
      <w:pPr>
        <w:spacing w:after="30" w:line="430" w:lineRule="auto"/>
        <w:ind w:left="6330" w:hanging="634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2842895</wp:posOffset>
                </wp:positionH>
                <wp:positionV relativeFrom="paragraph">
                  <wp:posOffset>411075</wp:posOffset>
                </wp:positionV>
                <wp:extent cx="4027043" cy="18288"/>
                <wp:effectExtent l="0" t="0" r="0" b="0"/>
                <wp:wrapSquare wrapText="bothSides"/>
                <wp:docPr id="15119" name="Group 15119"/>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47" name="Shape 15947"/>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19" style="width:317.09pt;height:1.44pt;position:absolute;mso-position-horizontal-relative:text;mso-position-horizontal:absolute;margin-left:223.85pt;mso-position-vertical-relative:text;margin-top:32.3681pt;" coordsize="40270,182">
                <v:shape id="Shape 15948" style="position:absolute;width:40270;height:182;left:0;top:0;" coordsize="4027043,18288" path="m0,0l4027043,0l4027043,18288l0,18288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2842895</wp:posOffset>
                </wp:positionH>
                <wp:positionV relativeFrom="paragraph">
                  <wp:posOffset>947522</wp:posOffset>
                </wp:positionV>
                <wp:extent cx="4027043" cy="18288"/>
                <wp:effectExtent l="0" t="0" r="0" b="0"/>
                <wp:wrapSquare wrapText="bothSides"/>
                <wp:docPr id="15120" name="Group 15120"/>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49" name="Shape 15949"/>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120" style="width:317.09pt;height:1.44pt;position:absolute;mso-position-horizontal-relative:text;mso-position-horizontal:absolute;margin-left:223.85pt;mso-position-vertical-relative:text;margin-top:74.6081pt;" coordsize="40270,182">
                <v:shape id="Shape 15950" style="position:absolute;width:40270;height:182;left:0;top:0;" coordsize="4027043,18288" path="m0,0l4027043,0l4027043,18288l0,18288l0,0">
                  <v:stroke weight="0pt" endcap="flat" joinstyle="miter" miterlimit="10" on="false" color="#000000" opacity="0"/>
                  <v:fill on="true" color="#000000"/>
                </v:shape>
                <w10:wrap type="square"/>
              </v:group>
            </w:pict>
          </mc:Fallback>
        </mc:AlternateContent>
      </w:r>
      <w:r>
        <w:rPr>
          <w:rFonts w:ascii="Arial" w:eastAsia="Arial" w:hAnsi="Arial" w:cs="Arial"/>
          <w:b/>
          <w:sz w:val="36"/>
        </w:rPr>
        <w:t xml:space="preserve">STUDENT SUPPORT </w:t>
      </w:r>
      <w:r>
        <w:rPr>
          <w:rFonts w:ascii="Arial" w:eastAsia="Arial" w:hAnsi="Arial" w:cs="Arial"/>
          <w:b/>
          <w:sz w:val="8"/>
        </w:rPr>
        <w:t xml:space="preserve"> </w:t>
      </w:r>
      <w:r>
        <w:rPr>
          <w:rFonts w:ascii="Arial" w:eastAsia="Arial" w:hAnsi="Arial" w:cs="Arial"/>
          <w:b/>
          <w:sz w:val="36"/>
        </w:rPr>
        <w:t xml:space="preserve"> </w:t>
      </w:r>
      <w:r>
        <w:rPr>
          <w:rFonts w:ascii="Arial" w:eastAsia="Arial" w:hAnsi="Arial" w:cs="Arial"/>
          <w:b/>
          <w:sz w:val="22"/>
        </w:rPr>
        <w:t>CAREER COUNSELING</w:t>
      </w:r>
      <w:hyperlink r:id="rId11">
        <w:r>
          <w:rPr>
            <w:rFonts w:ascii="Arial" w:eastAsia="Arial" w:hAnsi="Arial" w:cs="Arial"/>
            <w:color w:val="0563C1"/>
            <w:sz w:val="22"/>
            <w:u w:val="single" w:color="0563C1"/>
          </w:rPr>
          <w:t>ucdenver.edu/careercente</w:t>
        </w:r>
      </w:hyperlink>
      <w:r>
        <w:rPr>
          <w:rFonts w:ascii="Arial" w:eastAsia="Arial" w:hAnsi="Arial" w:cs="Arial"/>
          <w:b/>
          <w:sz w:val="22"/>
        </w:rPr>
        <w:t xml:space="preserve"> at </w:t>
      </w:r>
      <w:proofErr w:type="spellStart"/>
      <w:r>
        <w:rPr>
          <w:rFonts w:ascii="Arial" w:eastAsia="Arial" w:hAnsi="Arial" w:cs="Arial"/>
          <w:b/>
          <w:sz w:val="22"/>
        </w:rPr>
        <w:t>LYNXCONNECT</w:t>
      </w:r>
      <w:hyperlink r:id="rId12">
        <w:r>
          <w:rPr>
            <w:rFonts w:ascii="Arial" w:eastAsia="Arial" w:hAnsi="Arial" w:cs="Arial"/>
            <w:color w:val="0563C1"/>
            <w:sz w:val="22"/>
            <w:u w:val="single" w:color="0563C1"/>
          </w:rPr>
          <w:t>r</w:t>
        </w:r>
        <w:proofErr w:type="spellEnd"/>
      </w:hyperlink>
      <w:hyperlink r:id="rId13">
        <w:r>
          <w:rPr>
            <w:rFonts w:ascii="Arial" w:eastAsia="Arial" w:hAnsi="Arial" w:cs="Arial"/>
            <w:sz w:val="22"/>
          </w:rPr>
          <w:t xml:space="preserve"> </w:t>
        </w:r>
      </w:hyperlink>
      <w:r>
        <w:rPr>
          <w:rFonts w:ascii="Arial" w:eastAsia="Arial" w:hAnsi="Arial" w:cs="Arial"/>
          <w:sz w:val="22"/>
        </w:rPr>
        <w:t>- Tivoli 339</w:t>
      </w:r>
      <w:r>
        <w:rPr>
          <w:rFonts w:ascii="Arial" w:eastAsia="Arial" w:hAnsi="Arial" w:cs="Arial"/>
          <w:b/>
          <w:sz w:val="22"/>
        </w:rPr>
        <w:t xml:space="preserve"> </w:t>
      </w:r>
      <w:r>
        <w:rPr>
          <w:rFonts w:ascii="Arial" w:eastAsia="Arial" w:hAnsi="Arial" w:cs="Arial"/>
          <w:sz w:val="22"/>
        </w:rPr>
        <w:t xml:space="preserve">  303-315-7315 - careercenter@ucdenver.edu</w:t>
      </w:r>
      <w:r>
        <w:rPr>
          <w:rFonts w:ascii="Arial" w:eastAsia="Arial" w:hAnsi="Arial" w:cs="Arial"/>
          <w:sz w:val="2"/>
        </w:rPr>
        <w:t xml:space="preserve"> </w:t>
      </w:r>
    </w:p>
    <w:p w:rsidR="00AB5607" w:rsidRDefault="0038624F">
      <w:pPr>
        <w:spacing w:before="96" w:after="0" w:line="259" w:lineRule="auto"/>
        <w:ind w:left="15" w:right="121"/>
        <w:jc w:val="right"/>
      </w:pPr>
      <w:r>
        <w:rPr>
          <w:rFonts w:ascii="Arial" w:eastAsia="Arial" w:hAnsi="Arial" w:cs="Arial"/>
          <w:b/>
          <w:sz w:val="22"/>
        </w:rPr>
        <w:t xml:space="preserve">COUNSELING CENTER </w:t>
      </w:r>
    </w:p>
    <w:p w:rsidR="00AB5607" w:rsidRDefault="0038624F">
      <w:pPr>
        <w:spacing w:after="0" w:line="259" w:lineRule="auto"/>
        <w:ind w:left="15" w:right="118"/>
        <w:jc w:val="right"/>
      </w:pPr>
      <w:proofErr w:type="gramStart"/>
      <w:r>
        <w:rPr>
          <w:rFonts w:ascii="Arial" w:eastAsia="Arial" w:hAnsi="Arial" w:cs="Arial"/>
          <w:color w:val="0563C1"/>
          <w:sz w:val="22"/>
          <w:u w:val="single" w:color="0563C1"/>
        </w:rPr>
        <w:t>ucdenver.edu/</w:t>
      </w:r>
      <w:proofErr w:type="spellStart"/>
      <w:r>
        <w:rPr>
          <w:rFonts w:ascii="Arial" w:eastAsia="Arial" w:hAnsi="Arial" w:cs="Arial"/>
          <w:color w:val="0563C1"/>
          <w:sz w:val="22"/>
          <w:u w:val="single" w:color="0563C1"/>
        </w:rPr>
        <w:t>counselingcenter</w:t>
      </w:r>
      <w:proofErr w:type="spellEnd"/>
      <w:proofErr w:type="gramEnd"/>
      <w:r>
        <w:rPr>
          <w:rFonts w:ascii="Arial" w:eastAsia="Arial" w:hAnsi="Arial" w:cs="Arial"/>
          <w:sz w:val="22"/>
        </w:rPr>
        <w:t xml:space="preserve"> - Tivoli 454 (4th floor) </w:t>
      </w:r>
    </w:p>
    <w:p w:rsidR="00AB5607" w:rsidRDefault="0038624F">
      <w:pPr>
        <w:spacing w:after="34" w:line="259" w:lineRule="auto"/>
        <w:ind w:left="5" w:right="131" w:firstLine="0"/>
        <w:jc w:val="right"/>
      </w:pPr>
      <w:r>
        <w:rPr>
          <w:rFonts w:ascii="Arial" w:eastAsia="Arial" w:hAnsi="Arial" w:cs="Arial"/>
          <w:sz w:val="22"/>
        </w:rPr>
        <w:t xml:space="preserve">303-315-7270 </w:t>
      </w:r>
      <w:r>
        <w:rPr>
          <w:rFonts w:ascii="Arial" w:eastAsia="Arial" w:hAnsi="Arial" w:cs="Arial"/>
          <w:sz w:val="18"/>
        </w:rPr>
        <w:t>(</w:t>
      </w:r>
      <w:r>
        <w:rPr>
          <w:rFonts w:ascii="Arial" w:eastAsia="Arial" w:hAnsi="Arial" w:cs="Arial"/>
          <w:i/>
          <w:sz w:val="18"/>
        </w:rPr>
        <w:t>Emergency After-Hours: 303-615-9911)</w:t>
      </w:r>
      <w:r>
        <w:rPr>
          <w:rFonts w:ascii="Arial" w:eastAsia="Arial" w:hAnsi="Arial" w:cs="Arial"/>
          <w:b/>
          <w:sz w:val="22"/>
        </w:rPr>
        <w:t xml:space="preserve"> </w:t>
      </w:r>
    </w:p>
    <w:p w:rsidR="00AB5607" w:rsidRDefault="0038624F">
      <w:pPr>
        <w:spacing w:before="99" w:after="0" w:line="235" w:lineRule="auto"/>
        <w:ind w:left="5" w:firstLine="1452"/>
      </w:pPr>
      <w:r>
        <w:rPr>
          <w:rFonts w:ascii="Arial" w:eastAsia="Arial" w:hAnsi="Arial" w:cs="Arial"/>
          <w:b/>
          <w:sz w:val="22"/>
        </w:rPr>
        <w:t xml:space="preserve">DISABILITY RESOURCES &amp; SERVICES </w:t>
      </w:r>
      <w:hyperlink r:id="rId14">
        <w:r>
          <w:rPr>
            <w:rFonts w:ascii="Arial" w:eastAsia="Arial" w:hAnsi="Arial" w:cs="Arial"/>
            <w:color w:val="0563C1"/>
            <w:sz w:val="21"/>
            <w:u w:val="single" w:color="0563C1"/>
          </w:rPr>
          <w:t>www.ucdenver.edu/disabilityresources</w:t>
        </w:r>
      </w:hyperlink>
      <w:hyperlink r:id="rId15">
        <w:r>
          <w:rPr>
            <w:rFonts w:ascii="Arial" w:eastAsia="Arial" w:hAnsi="Arial" w:cs="Arial"/>
            <w:sz w:val="21"/>
          </w:rPr>
          <w:t xml:space="preserve"> </w:t>
        </w:r>
      </w:hyperlink>
      <w:r>
        <w:rPr>
          <w:rFonts w:ascii="Arial" w:eastAsia="Arial" w:hAnsi="Arial" w:cs="Arial"/>
          <w:sz w:val="21"/>
        </w:rPr>
        <w:t>- Student Commons 2116</w:t>
      </w:r>
      <w:r>
        <w:rPr>
          <w:rFonts w:ascii="Arial" w:eastAsia="Arial" w:hAnsi="Arial" w:cs="Arial"/>
          <w:sz w:val="22"/>
        </w:rPr>
        <w:t xml:space="preserve"> </w:t>
      </w:r>
    </w:p>
    <w:p w:rsidR="00AB5607" w:rsidRDefault="0038624F">
      <w:pPr>
        <w:spacing w:after="0" w:line="259" w:lineRule="auto"/>
        <w:ind w:left="-5"/>
      </w:pPr>
      <w:r>
        <w:rPr>
          <w:rFonts w:ascii="Arial" w:eastAsia="Arial" w:hAnsi="Arial" w:cs="Arial"/>
          <w:b/>
          <w:sz w:val="2"/>
          <w:vertAlign w:val="superscript"/>
        </w:rPr>
        <w:t xml:space="preserve"> </w:t>
      </w:r>
      <w:r>
        <w:rPr>
          <w:rFonts w:ascii="Arial" w:eastAsia="Arial" w:hAnsi="Arial" w:cs="Arial"/>
          <w:sz w:val="22"/>
        </w:rPr>
        <w:t>303-315-3510 - disabilityresources@ucdenver.edu</w:t>
      </w:r>
      <w:r>
        <w:rPr>
          <w:rFonts w:ascii="Arial" w:eastAsia="Arial" w:hAnsi="Arial" w:cs="Arial"/>
          <w:b/>
          <w:sz w:val="22"/>
        </w:rPr>
        <w:t xml:space="preserve"> </w:t>
      </w:r>
    </w:p>
    <w:p w:rsidR="00AB5607" w:rsidRDefault="0038624F">
      <w:pPr>
        <w:spacing w:after="99" w:line="259" w:lineRule="auto"/>
        <w:ind w:left="4477" w:firstLine="0"/>
      </w:pPr>
      <w:r>
        <w:rPr>
          <w:rFonts w:ascii="Calibri" w:eastAsia="Calibri" w:hAnsi="Calibri" w:cs="Calibri"/>
          <w:noProof/>
          <w:sz w:val="22"/>
        </w:rPr>
        <mc:AlternateContent>
          <mc:Choice Requires="wpg">
            <w:drawing>
              <wp:inline distT="0" distB="0" distL="0" distR="0">
                <wp:extent cx="4027043" cy="18288"/>
                <wp:effectExtent l="0" t="0" r="0" b="0"/>
                <wp:docPr id="15121" name="Group 15121"/>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51" name="Shape 15951"/>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1" style="width:317.09pt;height:1.44pt;mso-position-horizontal-relative:char;mso-position-vertical-relative:line" coordsize="40270,182">
                <v:shape id="Shape 15952"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15" w:right="121"/>
        <w:jc w:val="right"/>
      </w:pPr>
      <w:r>
        <w:rPr>
          <w:rFonts w:ascii="Arial" w:eastAsia="Arial" w:hAnsi="Arial" w:cs="Arial"/>
          <w:b/>
          <w:sz w:val="22"/>
        </w:rPr>
        <w:t xml:space="preserve">OFFICE OF EQUITY </w:t>
      </w:r>
    </w:p>
    <w:p w:rsidR="00AB5607" w:rsidRDefault="000D1971">
      <w:pPr>
        <w:spacing w:after="0" w:line="259" w:lineRule="auto"/>
        <w:ind w:left="10" w:right="118"/>
        <w:jc w:val="right"/>
      </w:pPr>
      <w:hyperlink r:id="rId16">
        <w:r w:rsidR="0038624F">
          <w:rPr>
            <w:rFonts w:ascii="Arial" w:eastAsia="Arial" w:hAnsi="Arial" w:cs="Arial"/>
            <w:color w:val="0563C1"/>
            <w:sz w:val="22"/>
            <w:u w:val="single" w:color="0563C1"/>
          </w:rPr>
          <w:t>equity.ucdenver.edu</w:t>
        </w:r>
      </w:hyperlink>
      <w:hyperlink r:id="rId17">
        <w:r w:rsidR="0038624F">
          <w:rPr>
            <w:rFonts w:ascii="Arial" w:eastAsia="Arial" w:hAnsi="Arial" w:cs="Arial"/>
            <w:sz w:val="22"/>
          </w:rPr>
          <w:t xml:space="preserve"> </w:t>
        </w:r>
      </w:hyperlink>
      <w:r w:rsidR="0038624F">
        <w:rPr>
          <w:rFonts w:ascii="Arial" w:eastAsia="Arial" w:hAnsi="Arial" w:cs="Arial"/>
          <w:sz w:val="22"/>
        </w:rPr>
        <w:t>- Lawrence Street Center 12</w:t>
      </w:r>
      <w:r w:rsidR="0038624F">
        <w:rPr>
          <w:rFonts w:ascii="Arial" w:eastAsia="Arial" w:hAnsi="Arial" w:cs="Arial"/>
          <w:sz w:val="22"/>
          <w:vertAlign w:val="superscript"/>
        </w:rPr>
        <w:t>th</w:t>
      </w:r>
      <w:r w:rsidR="0038624F">
        <w:rPr>
          <w:rFonts w:ascii="Arial" w:eastAsia="Arial" w:hAnsi="Arial" w:cs="Arial"/>
          <w:sz w:val="22"/>
        </w:rPr>
        <w:t xml:space="preserve"> floor </w:t>
      </w:r>
    </w:p>
    <w:p w:rsidR="00AB5607" w:rsidRDefault="0038624F">
      <w:pPr>
        <w:spacing w:after="0" w:line="259" w:lineRule="auto"/>
        <w:ind w:left="10" w:right="118"/>
        <w:jc w:val="right"/>
      </w:pPr>
      <w:r>
        <w:rPr>
          <w:rFonts w:ascii="Arial" w:eastAsia="Arial" w:hAnsi="Arial" w:cs="Arial"/>
          <w:sz w:val="22"/>
        </w:rPr>
        <w:t xml:space="preserve">303-315-2567 – equity@ucdenver.edu </w:t>
      </w:r>
    </w:p>
    <w:tbl>
      <w:tblPr>
        <w:tblStyle w:val="TableGrid"/>
        <w:tblW w:w="10932" w:type="dxa"/>
        <w:tblInd w:w="-113" w:type="dxa"/>
        <w:tblCellMar>
          <w:top w:w="113" w:type="dxa"/>
          <w:left w:w="22" w:type="dxa"/>
          <w:right w:w="37" w:type="dxa"/>
        </w:tblCellMar>
        <w:tblLook w:val="04A0" w:firstRow="1" w:lastRow="0" w:firstColumn="1" w:lastColumn="0" w:noHBand="0" w:noVBand="1"/>
      </w:tblPr>
      <w:tblGrid>
        <w:gridCol w:w="4707"/>
        <w:gridCol w:w="6225"/>
      </w:tblGrid>
      <w:tr w:rsidR="00AB5607">
        <w:trPr>
          <w:trHeight w:val="1078"/>
        </w:trPr>
        <w:tc>
          <w:tcPr>
            <w:tcW w:w="4707" w:type="dxa"/>
            <w:tcBorders>
              <w:top w:val="nil"/>
              <w:left w:val="nil"/>
              <w:bottom w:val="double" w:sz="12" w:space="0" w:color="000000"/>
              <w:right w:val="nil"/>
            </w:tcBorders>
          </w:tcPr>
          <w:p w:rsidR="00AB5607" w:rsidRDefault="00AB5607">
            <w:pPr>
              <w:spacing w:after="160" w:line="259" w:lineRule="auto"/>
              <w:ind w:left="0" w:firstLine="0"/>
            </w:pPr>
          </w:p>
        </w:tc>
        <w:tc>
          <w:tcPr>
            <w:tcW w:w="6224" w:type="dxa"/>
            <w:tcBorders>
              <w:top w:val="single" w:sz="12" w:space="0" w:color="000000"/>
              <w:left w:val="nil"/>
              <w:bottom w:val="double" w:sz="12" w:space="0" w:color="000000"/>
              <w:right w:val="nil"/>
            </w:tcBorders>
          </w:tcPr>
          <w:p w:rsidR="00AB5607" w:rsidRDefault="0038624F">
            <w:pPr>
              <w:spacing w:after="0" w:line="259" w:lineRule="auto"/>
              <w:ind w:left="0" w:right="74" w:firstLine="0"/>
              <w:jc w:val="right"/>
            </w:pPr>
            <w:r>
              <w:rPr>
                <w:rFonts w:ascii="Arial" w:eastAsia="Arial" w:hAnsi="Arial" w:cs="Arial"/>
                <w:b/>
                <w:sz w:val="22"/>
              </w:rPr>
              <w:t xml:space="preserve">PHOENIX CENTER AT AURARIA </w:t>
            </w:r>
          </w:p>
          <w:p w:rsidR="00AB5607" w:rsidRDefault="0038624F">
            <w:pPr>
              <w:spacing w:line="259" w:lineRule="auto"/>
              <w:ind w:left="0" w:right="70" w:firstLine="0"/>
              <w:jc w:val="right"/>
            </w:pPr>
            <w:r>
              <w:rPr>
                <w:rFonts w:ascii="Arial" w:eastAsia="Arial" w:hAnsi="Arial" w:cs="Arial"/>
                <w:sz w:val="22"/>
              </w:rPr>
              <w:t xml:space="preserve">24/7 Free and Confidential Helpline: 303-556-2255 </w:t>
            </w:r>
          </w:p>
          <w:p w:rsidR="00AB5607" w:rsidRDefault="0038624F">
            <w:pPr>
              <w:spacing w:after="0" w:line="259" w:lineRule="auto"/>
              <w:ind w:left="0" w:firstLine="454"/>
            </w:pPr>
            <w:r>
              <w:rPr>
                <w:rFonts w:ascii="Verdana" w:eastAsia="Verdana" w:hAnsi="Verdana" w:cs="Verdana"/>
                <w:i/>
                <w:sz w:val="18"/>
              </w:rPr>
              <w:t>Info on interpersonal violence, referrals, options, &amp; next steps</w:t>
            </w:r>
            <w:r>
              <w:rPr>
                <w:rFonts w:ascii="Arial" w:eastAsia="Arial" w:hAnsi="Arial" w:cs="Arial"/>
                <w:sz w:val="22"/>
              </w:rPr>
              <w:t xml:space="preserve"> </w:t>
            </w:r>
            <w:hyperlink r:id="rId18">
              <w:r>
                <w:rPr>
                  <w:rFonts w:ascii="Arial" w:eastAsia="Arial" w:hAnsi="Arial" w:cs="Arial"/>
                  <w:color w:val="0563C1"/>
                  <w:sz w:val="22"/>
                  <w:u w:val="single" w:color="0563C1"/>
                </w:rPr>
                <w:t>www.thepca.org</w:t>
              </w:r>
            </w:hyperlink>
            <w:hyperlink r:id="rId19">
              <w:r>
                <w:rPr>
                  <w:rFonts w:ascii="Arial" w:eastAsia="Arial" w:hAnsi="Arial" w:cs="Arial"/>
                  <w:sz w:val="22"/>
                </w:rPr>
                <w:t xml:space="preserve"> </w:t>
              </w:r>
            </w:hyperlink>
            <w:r>
              <w:rPr>
                <w:rFonts w:ascii="Arial" w:eastAsia="Arial" w:hAnsi="Arial" w:cs="Arial"/>
                <w:sz w:val="22"/>
              </w:rPr>
              <w:t xml:space="preserve">- Tivoli 227 - 303-315-7250 - info@thepca.org </w:t>
            </w:r>
          </w:p>
        </w:tc>
      </w:tr>
    </w:tbl>
    <w:p w:rsidR="00AB5607" w:rsidRDefault="0038624F">
      <w:pPr>
        <w:tabs>
          <w:tab w:val="right" w:pos="10844"/>
        </w:tabs>
        <w:spacing w:after="49" w:line="259" w:lineRule="auto"/>
        <w:ind w:left="0" w:firstLine="0"/>
      </w:pPr>
      <w:r>
        <w:rPr>
          <w:rFonts w:ascii="Arial" w:eastAsia="Arial" w:hAnsi="Arial" w:cs="Arial"/>
          <w:b/>
          <w:sz w:val="36"/>
        </w:rPr>
        <w:t xml:space="preserve">FREE TUTORING </w:t>
      </w:r>
      <w:r>
        <w:rPr>
          <w:rFonts w:ascii="Arial" w:eastAsia="Arial" w:hAnsi="Arial" w:cs="Arial"/>
          <w:b/>
          <w:sz w:val="36"/>
        </w:rPr>
        <w:tab/>
      </w:r>
      <w:hyperlink r:id="rId20">
        <w:r>
          <w:rPr>
            <w:rFonts w:ascii="Arial" w:eastAsia="Arial" w:hAnsi="Arial" w:cs="Arial"/>
            <w:color w:val="0563C1"/>
            <w:sz w:val="22"/>
            <w:u w:val="single" w:color="0563C1"/>
          </w:rPr>
          <w:t>ucdenver.edu/</w:t>
        </w:r>
        <w:proofErr w:type="spellStart"/>
        <w:r>
          <w:rPr>
            <w:rFonts w:ascii="Arial" w:eastAsia="Arial" w:hAnsi="Arial" w:cs="Arial"/>
            <w:color w:val="0563C1"/>
            <w:sz w:val="22"/>
            <w:u w:val="single" w:color="0563C1"/>
          </w:rPr>
          <w:t>lr</w:t>
        </w:r>
      </w:hyperlink>
      <w:r>
        <w:rPr>
          <w:rFonts w:ascii="Arial" w:eastAsia="Arial" w:hAnsi="Arial" w:cs="Arial"/>
          <w:b/>
          <w:sz w:val="22"/>
        </w:rPr>
        <w:t>LEARNING</w:t>
      </w:r>
      <w:proofErr w:type="spellEnd"/>
      <w:r>
        <w:rPr>
          <w:rFonts w:ascii="Arial" w:eastAsia="Arial" w:hAnsi="Arial" w:cs="Arial"/>
          <w:b/>
          <w:sz w:val="22"/>
        </w:rPr>
        <w:t xml:space="preserve"> </w:t>
      </w:r>
      <w:hyperlink r:id="rId21">
        <w:proofErr w:type="spellStart"/>
        <w:r>
          <w:rPr>
            <w:rFonts w:ascii="Arial" w:eastAsia="Arial" w:hAnsi="Arial" w:cs="Arial"/>
            <w:color w:val="0563C1"/>
            <w:sz w:val="22"/>
            <w:u w:val="single" w:color="0563C1"/>
          </w:rPr>
          <w:t>c</w:t>
        </w:r>
      </w:hyperlink>
      <w:r>
        <w:rPr>
          <w:rFonts w:ascii="Arial" w:eastAsia="Arial" w:hAnsi="Arial" w:cs="Arial"/>
          <w:b/>
          <w:sz w:val="22"/>
        </w:rPr>
        <w:t>RESOURCES</w:t>
      </w:r>
      <w:proofErr w:type="spellEnd"/>
      <w:r>
        <w:rPr>
          <w:rFonts w:ascii="Arial" w:eastAsia="Arial" w:hAnsi="Arial" w:cs="Arial"/>
          <w:b/>
          <w:sz w:val="22"/>
        </w:rPr>
        <w:t xml:space="preserve"> CENTER</w:t>
      </w:r>
      <w:hyperlink r:id="rId22">
        <w:r>
          <w:rPr>
            <w:rFonts w:ascii="Arial" w:eastAsia="Arial" w:hAnsi="Arial" w:cs="Arial"/>
            <w:sz w:val="22"/>
          </w:rPr>
          <w:t xml:space="preserve"> </w:t>
        </w:r>
      </w:hyperlink>
      <w:r>
        <w:rPr>
          <w:rFonts w:ascii="Arial" w:eastAsia="Arial" w:hAnsi="Arial" w:cs="Arial"/>
          <w:sz w:val="22"/>
        </w:rPr>
        <w:t xml:space="preserve">- Student Commons 2105 </w:t>
      </w:r>
      <w:r>
        <w:rPr>
          <w:rFonts w:ascii="Arial" w:eastAsia="Arial" w:hAnsi="Arial" w:cs="Arial"/>
          <w:b/>
          <w:sz w:val="22"/>
        </w:rPr>
        <w:t xml:space="preserve"> </w:t>
      </w:r>
      <w:r>
        <w:rPr>
          <w:rFonts w:ascii="Arial" w:eastAsia="Arial" w:hAnsi="Arial" w:cs="Arial"/>
          <w:sz w:val="22"/>
        </w:rPr>
        <w:t xml:space="preserve"> </w:t>
      </w:r>
    </w:p>
    <w:p w:rsidR="00AB5607" w:rsidRDefault="0038624F">
      <w:pPr>
        <w:tabs>
          <w:tab w:val="right" w:pos="10844"/>
        </w:tabs>
        <w:spacing w:after="0" w:line="259" w:lineRule="auto"/>
        <w:ind w:left="-15" w:firstLine="0"/>
      </w:pPr>
      <w:r>
        <w:rPr>
          <w:rFonts w:ascii="Arial" w:eastAsia="Arial" w:hAnsi="Arial" w:cs="Arial"/>
          <w:sz w:val="34"/>
          <w:vertAlign w:val="superscript"/>
        </w:rPr>
        <w:t xml:space="preserve">Contact these services for academic </w:t>
      </w:r>
      <w:r>
        <w:rPr>
          <w:rFonts w:ascii="Arial" w:eastAsia="Arial" w:hAnsi="Arial" w:cs="Arial"/>
          <w:sz w:val="22"/>
        </w:rPr>
        <w:t>assistance throughout the semester</w:t>
      </w:r>
      <w:r>
        <w:rPr>
          <w:rFonts w:ascii="Arial" w:eastAsia="Arial" w:hAnsi="Arial" w:cs="Arial"/>
          <w:b/>
          <w:sz w:val="22"/>
        </w:rPr>
        <w:t xml:space="preserve"> </w:t>
      </w:r>
      <w:r>
        <w:rPr>
          <w:rFonts w:ascii="Arial" w:eastAsia="Arial" w:hAnsi="Arial" w:cs="Arial"/>
          <w:b/>
          <w:sz w:val="22"/>
        </w:rPr>
        <w:tab/>
      </w:r>
      <w:r>
        <w:rPr>
          <w:rFonts w:ascii="Arial" w:eastAsia="Arial" w:hAnsi="Arial" w:cs="Arial"/>
          <w:sz w:val="22"/>
        </w:rPr>
        <w:t xml:space="preserve">303-315-3531 - tutorialservices@ucdenver.edu </w:t>
      </w:r>
    </w:p>
    <w:p w:rsidR="00AB5607" w:rsidRDefault="0038624F">
      <w:pPr>
        <w:spacing w:after="99" w:line="259" w:lineRule="auto"/>
        <w:ind w:left="4477" w:firstLine="0"/>
      </w:pPr>
      <w:r>
        <w:rPr>
          <w:rFonts w:ascii="Calibri" w:eastAsia="Calibri" w:hAnsi="Calibri" w:cs="Calibri"/>
          <w:noProof/>
          <w:sz w:val="22"/>
        </w:rPr>
        <mc:AlternateContent>
          <mc:Choice Requires="wpg">
            <w:drawing>
              <wp:inline distT="0" distB="0" distL="0" distR="0">
                <wp:extent cx="4027043" cy="18288"/>
                <wp:effectExtent l="0" t="0" r="0" b="0"/>
                <wp:docPr id="15122" name="Group 15122"/>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53" name="Shape 15953"/>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2" style="width:317.09pt;height:1.44pt;mso-position-horizontal-relative:char;mso-position-vertical-relative:line" coordsize="40270,182">
                <v:shape id="Shape 15954"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15" w:right="121"/>
        <w:jc w:val="right"/>
      </w:pPr>
      <w:r>
        <w:rPr>
          <w:rFonts w:ascii="Arial" w:eastAsia="Arial" w:hAnsi="Arial" w:cs="Arial"/>
          <w:b/>
          <w:sz w:val="22"/>
        </w:rPr>
        <w:t xml:space="preserve">MATH EDUCATION RESOURCE CENTER </w:t>
      </w:r>
    </w:p>
    <w:p w:rsidR="00AB5607" w:rsidRDefault="0038624F">
      <w:pPr>
        <w:spacing w:after="0" w:line="259" w:lineRule="auto"/>
        <w:ind w:left="10" w:right="118"/>
        <w:jc w:val="right"/>
      </w:pPr>
      <w:r>
        <w:rPr>
          <w:rFonts w:ascii="Arial" w:eastAsia="Arial" w:hAnsi="Arial" w:cs="Arial"/>
          <w:sz w:val="22"/>
        </w:rPr>
        <w:t xml:space="preserve">MERC Lab North Classroom 4015 </w:t>
      </w:r>
    </w:p>
    <w:p w:rsidR="00AB5607" w:rsidRDefault="000D1971">
      <w:pPr>
        <w:spacing w:after="0" w:line="259" w:lineRule="auto"/>
        <w:ind w:left="15" w:right="118"/>
        <w:jc w:val="right"/>
      </w:pPr>
      <w:hyperlink r:id="rId23">
        <w:r w:rsidR="0038624F">
          <w:rPr>
            <w:rFonts w:ascii="Arial" w:eastAsia="Arial" w:hAnsi="Arial" w:cs="Arial"/>
            <w:color w:val="0563C1"/>
            <w:sz w:val="22"/>
            <w:u w:val="single" w:color="0563C1"/>
          </w:rPr>
          <w:t>math.ucdenver.edu/~</w:t>
        </w:r>
        <w:proofErr w:type="spellStart"/>
        <w:r w:rsidR="0038624F">
          <w:rPr>
            <w:rFonts w:ascii="Arial" w:eastAsia="Arial" w:hAnsi="Arial" w:cs="Arial"/>
            <w:color w:val="0563C1"/>
            <w:sz w:val="22"/>
            <w:u w:val="single" w:color="0563C1"/>
          </w:rPr>
          <w:t>mkawai</w:t>
        </w:r>
        <w:proofErr w:type="spellEnd"/>
        <w:r w:rsidR="0038624F">
          <w:rPr>
            <w:rFonts w:ascii="Arial" w:eastAsia="Arial" w:hAnsi="Arial" w:cs="Arial"/>
            <w:color w:val="0563C1"/>
            <w:sz w:val="22"/>
            <w:u w:val="single" w:color="0563C1"/>
          </w:rPr>
          <w:t>/MERC</w:t>
        </w:r>
      </w:hyperlink>
      <w:hyperlink r:id="rId24">
        <w:r w:rsidR="0038624F">
          <w:rPr>
            <w:rFonts w:ascii="Arial" w:eastAsia="Arial" w:hAnsi="Arial" w:cs="Arial"/>
            <w:sz w:val="22"/>
          </w:rPr>
          <w:t xml:space="preserve"> </w:t>
        </w:r>
      </w:hyperlink>
      <w:r w:rsidR="0038624F">
        <w:rPr>
          <w:rFonts w:ascii="Arial" w:eastAsia="Arial" w:hAnsi="Arial" w:cs="Arial"/>
          <w:sz w:val="22"/>
        </w:rPr>
        <w:t xml:space="preserve">- 303-315-1712 </w:t>
      </w:r>
    </w:p>
    <w:tbl>
      <w:tblPr>
        <w:tblStyle w:val="TableGrid"/>
        <w:tblW w:w="10932" w:type="dxa"/>
        <w:tblInd w:w="-113" w:type="dxa"/>
        <w:tblCellMar>
          <w:top w:w="111" w:type="dxa"/>
          <w:left w:w="115" w:type="dxa"/>
          <w:right w:w="34" w:type="dxa"/>
        </w:tblCellMar>
        <w:tblLook w:val="04A0" w:firstRow="1" w:lastRow="0" w:firstColumn="1" w:lastColumn="0" w:noHBand="0" w:noVBand="1"/>
      </w:tblPr>
      <w:tblGrid>
        <w:gridCol w:w="4613"/>
        <w:gridCol w:w="94"/>
        <w:gridCol w:w="6136"/>
        <w:gridCol w:w="89"/>
      </w:tblGrid>
      <w:tr w:rsidR="00AB5607">
        <w:trPr>
          <w:trHeight w:val="874"/>
        </w:trPr>
        <w:tc>
          <w:tcPr>
            <w:tcW w:w="4707" w:type="dxa"/>
            <w:gridSpan w:val="2"/>
            <w:tcBorders>
              <w:top w:val="nil"/>
              <w:left w:val="nil"/>
              <w:bottom w:val="double" w:sz="12" w:space="0" w:color="000000"/>
              <w:right w:val="nil"/>
            </w:tcBorders>
          </w:tcPr>
          <w:p w:rsidR="00AB5607" w:rsidRDefault="00AB5607">
            <w:pPr>
              <w:spacing w:after="160" w:line="259" w:lineRule="auto"/>
              <w:ind w:left="0" w:firstLine="0"/>
            </w:pPr>
          </w:p>
        </w:tc>
        <w:tc>
          <w:tcPr>
            <w:tcW w:w="6224" w:type="dxa"/>
            <w:gridSpan w:val="2"/>
            <w:tcBorders>
              <w:top w:val="single" w:sz="12" w:space="0" w:color="000000"/>
              <w:left w:val="nil"/>
              <w:bottom w:val="double" w:sz="12" w:space="0" w:color="000000"/>
              <w:right w:val="nil"/>
            </w:tcBorders>
          </w:tcPr>
          <w:p w:rsidR="00AB5607" w:rsidRDefault="0038624F">
            <w:pPr>
              <w:spacing w:after="0" w:line="259" w:lineRule="auto"/>
              <w:ind w:left="0" w:right="73" w:firstLine="0"/>
              <w:jc w:val="right"/>
            </w:pPr>
            <w:r>
              <w:rPr>
                <w:rFonts w:ascii="Arial" w:eastAsia="Arial" w:hAnsi="Arial" w:cs="Arial"/>
                <w:b/>
                <w:sz w:val="22"/>
              </w:rPr>
              <w:t xml:space="preserve">WRITING CENTER </w:t>
            </w:r>
          </w:p>
          <w:p w:rsidR="00AB5607" w:rsidRDefault="0038624F">
            <w:pPr>
              <w:spacing w:after="0" w:line="259" w:lineRule="auto"/>
              <w:ind w:left="0" w:right="74" w:firstLine="0"/>
              <w:jc w:val="right"/>
            </w:pPr>
            <w:r>
              <w:rPr>
                <w:rFonts w:ascii="Arial" w:eastAsia="Arial" w:hAnsi="Arial" w:cs="Arial"/>
                <w:sz w:val="22"/>
              </w:rPr>
              <w:t xml:space="preserve">North Classroom 4014 | Campus Village | </w:t>
            </w:r>
            <w:proofErr w:type="spellStart"/>
            <w:r>
              <w:rPr>
                <w:rFonts w:ascii="Arial" w:eastAsia="Arial" w:hAnsi="Arial" w:cs="Arial"/>
                <w:sz w:val="22"/>
              </w:rPr>
              <w:t>Auraria</w:t>
            </w:r>
            <w:proofErr w:type="spellEnd"/>
            <w:r>
              <w:rPr>
                <w:rFonts w:ascii="Arial" w:eastAsia="Arial" w:hAnsi="Arial" w:cs="Arial"/>
                <w:sz w:val="22"/>
              </w:rPr>
              <w:t xml:space="preserve"> Library </w:t>
            </w:r>
            <w:hyperlink r:id="rId25">
              <w:r>
                <w:rPr>
                  <w:rFonts w:ascii="Arial" w:eastAsia="Arial" w:hAnsi="Arial" w:cs="Arial"/>
                  <w:color w:val="0563C1"/>
                  <w:sz w:val="22"/>
                  <w:u w:val="single" w:color="0563C1"/>
                </w:rPr>
                <w:t>writingcenter.ucdenver.edu</w:t>
              </w:r>
            </w:hyperlink>
            <w:hyperlink r:id="rId26">
              <w:r>
                <w:rPr>
                  <w:rFonts w:ascii="Arial" w:eastAsia="Arial" w:hAnsi="Arial" w:cs="Arial"/>
                  <w:sz w:val="22"/>
                </w:rPr>
                <w:t xml:space="preserve"> </w:t>
              </w:r>
            </w:hyperlink>
          </w:p>
        </w:tc>
      </w:tr>
      <w:tr w:rsidR="00AB5607">
        <w:tblPrEx>
          <w:tblCellMar>
            <w:top w:w="0" w:type="dxa"/>
            <w:left w:w="0" w:type="dxa"/>
            <w:right w:w="0" w:type="dxa"/>
          </w:tblCellMar>
        </w:tblPrEx>
        <w:trPr>
          <w:gridAfter w:val="1"/>
          <w:wAfter w:w="89" w:type="dxa"/>
          <w:trHeight w:val="1910"/>
        </w:trPr>
        <w:tc>
          <w:tcPr>
            <w:tcW w:w="4613" w:type="dxa"/>
            <w:tcBorders>
              <w:top w:val="nil"/>
              <w:left w:val="nil"/>
              <w:bottom w:val="nil"/>
              <w:right w:val="nil"/>
            </w:tcBorders>
          </w:tcPr>
          <w:p w:rsidR="00AB5607" w:rsidRDefault="0038624F">
            <w:pPr>
              <w:spacing w:after="0" w:line="216" w:lineRule="auto"/>
              <w:ind w:left="19" w:firstLine="0"/>
            </w:pPr>
            <w:r>
              <w:rPr>
                <w:rFonts w:ascii="Arial" w:eastAsia="Arial" w:hAnsi="Arial" w:cs="Arial"/>
                <w:b/>
                <w:sz w:val="36"/>
              </w:rPr>
              <w:t xml:space="preserve">UNDERGRADUATE ACADEMIC ADVISING  </w:t>
            </w:r>
          </w:p>
          <w:p w:rsidR="00AB5607" w:rsidRDefault="000D1971">
            <w:pPr>
              <w:spacing w:after="0" w:line="259" w:lineRule="auto"/>
              <w:ind w:left="19" w:firstLine="0"/>
            </w:pPr>
            <w:hyperlink r:id="rId27">
              <w:r w:rsidR="0038624F">
                <w:rPr>
                  <w:rFonts w:ascii="Arial" w:eastAsia="Arial" w:hAnsi="Arial" w:cs="Arial"/>
                  <w:color w:val="0563C1"/>
                  <w:sz w:val="22"/>
                  <w:u w:val="single" w:color="0563C1"/>
                </w:rPr>
                <w:t>ucdenver.edu/</w:t>
              </w:r>
              <w:proofErr w:type="spellStart"/>
              <w:r w:rsidR="0038624F">
                <w:rPr>
                  <w:rFonts w:ascii="Arial" w:eastAsia="Arial" w:hAnsi="Arial" w:cs="Arial"/>
                  <w:color w:val="0563C1"/>
                  <w:sz w:val="22"/>
                  <w:u w:val="single" w:color="0563C1"/>
                </w:rPr>
                <w:t>undergradadvising</w:t>
              </w:r>
              <w:proofErr w:type="spellEnd"/>
            </w:hyperlink>
            <w:hyperlink r:id="rId28">
              <w:r w:rsidR="0038624F">
                <w:rPr>
                  <w:rFonts w:ascii="Arial" w:eastAsia="Arial" w:hAnsi="Arial" w:cs="Arial"/>
                  <w:sz w:val="22"/>
                </w:rPr>
                <w:t xml:space="preserve"> </w:t>
              </w:r>
            </w:hyperlink>
          </w:p>
          <w:p w:rsidR="00AB5607" w:rsidRDefault="0038624F">
            <w:pPr>
              <w:spacing w:after="0" w:line="259" w:lineRule="auto"/>
              <w:ind w:left="19" w:firstLine="0"/>
            </w:pPr>
            <w:r>
              <w:rPr>
                <w:rFonts w:ascii="Arial" w:eastAsia="Arial" w:hAnsi="Arial" w:cs="Arial"/>
                <w:sz w:val="22"/>
              </w:rPr>
              <w:t xml:space="preserve"> </w:t>
            </w:r>
          </w:p>
          <w:p w:rsidR="00AB5607" w:rsidRDefault="0038624F">
            <w:pPr>
              <w:spacing w:after="44" w:line="216" w:lineRule="auto"/>
              <w:ind w:left="19" w:firstLine="0"/>
            </w:pPr>
            <w:r>
              <w:rPr>
                <w:rFonts w:ascii="Arial" w:eastAsia="Arial" w:hAnsi="Arial" w:cs="Arial"/>
                <w:i/>
                <w:sz w:val="18"/>
              </w:rPr>
              <w:t>Graduate students: contact your graduate program directly for advising information</w:t>
            </w:r>
            <w:r>
              <w:rPr>
                <w:rFonts w:ascii="Arial" w:eastAsia="Arial" w:hAnsi="Arial" w:cs="Arial"/>
                <w:b/>
                <w:sz w:val="19"/>
              </w:rPr>
              <w:t xml:space="preserve"> </w:t>
            </w:r>
          </w:p>
          <w:p w:rsidR="00AB5607" w:rsidRDefault="0038624F">
            <w:pPr>
              <w:spacing w:after="0" w:line="259" w:lineRule="auto"/>
              <w:ind w:left="0" w:firstLine="0"/>
            </w:pPr>
            <w:r>
              <w:rPr>
                <w:rFonts w:ascii="Arial" w:eastAsia="Arial" w:hAnsi="Arial" w:cs="Arial"/>
                <w:b/>
                <w:sz w:val="19"/>
              </w:rPr>
              <w:t xml:space="preserve"> </w:t>
            </w:r>
          </w:p>
        </w:tc>
        <w:tc>
          <w:tcPr>
            <w:tcW w:w="6229" w:type="dxa"/>
            <w:gridSpan w:val="2"/>
            <w:tcBorders>
              <w:top w:val="nil"/>
              <w:left w:val="nil"/>
              <w:bottom w:val="nil"/>
              <w:right w:val="nil"/>
            </w:tcBorders>
          </w:tcPr>
          <w:p w:rsidR="00AB5607" w:rsidRDefault="0038624F">
            <w:pPr>
              <w:spacing w:after="0" w:line="259" w:lineRule="auto"/>
              <w:ind w:left="0" w:right="119" w:firstLine="0"/>
              <w:jc w:val="right"/>
            </w:pPr>
            <w:r>
              <w:rPr>
                <w:rFonts w:ascii="Arial" w:eastAsia="Arial" w:hAnsi="Arial" w:cs="Arial"/>
                <w:b/>
                <w:sz w:val="20"/>
              </w:rPr>
              <w:t xml:space="preserve">ARCHITECTURE AND PLANNING (CAP) </w:t>
            </w:r>
          </w:p>
          <w:p w:rsidR="00AB5607" w:rsidRDefault="0038624F">
            <w:pPr>
              <w:spacing w:after="0" w:line="259" w:lineRule="auto"/>
              <w:ind w:left="0" w:right="114" w:firstLine="0"/>
              <w:jc w:val="right"/>
            </w:pPr>
            <w:r>
              <w:rPr>
                <w:rFonts w:ascii="Arial" w:eastAsia="Arial" w:hAnsi="Arial" w:cs="Arial"/>
                <w:sz w:val="20"/>
              </w:rPr>
              <w:t xml:space="preserve">CU Building 2000  </w:t>
            </w:r>
          </w:p>
          <w:p w:rsidR="00AB5607" w:rsidRDefault="0038624F">
            <w:pPr>
              <w:spacing w:after="74" w:line="259" w:lineRule="auto"/>
              <w:ind w:left="0" w:right="117" w:firstLine="0"/>
              <w:jc w:val="right"/>
            </w:pPr>
            <w:r>
              <w:rPr>
                <w:rFonts w:ascii="Arial" w:eastAsia="Arial" w:hAnsi="Arial" w:cs="Arial"/>
                <w:sz w:val="20"/>
                <w:u w:val="single" w:color="000000"/>
              </w:rPr>
              <w:t>303-315-1000 - cap@ucdenver.edu</w:t>
            </w:r>
            <w:r>
              <w:rPr>
                <w:rFonts w:ascii="Arial" w:eastAsia="Arial" w:hAnsi="Arial" w:cs="Arial"/>
                <w:b/>
                <w:sz w:val="20"/>
              </w:rPr>
              <w:t xml:space="preserve"> </w:t>
            </w:r>
          </w:p>
          <w:p w:rsidR="00AB5607" w:rsidRDefault="0038624F">
            <w:pPr>
              <w:spacing w:after="0" w:line="259" w:lineRule="auto"/>
              <w:ind w:left="0" w:right="118" w:firstLine="0"/>
              <w:jc w:val="right"/>
            </w:pPr>
            <w:r>
              <w:rPr>
                <w:rFonts w:ascii="Arial" w:eastAsia="Arial" w:hAnsi="Arial" w:cs="Arial"/>
                <w:b/>
                <w:sz w:val="20"/>
              </w:rPr>
              <w:t xml:space="preserve">ARTS AND MEDIA (CAM) </w:t>
            </w:r>
          </w:p>
          <w:p w:rsidR="00AB5607" w:rsidRDefault="0038624F">
            <w:pPr>
              <w:spacing w:after="0" w:line="259" w:lineRule="auto"/>
              <w:ind w:left="0" w:right="114" w:firstLine="0"/>
              <w:jc w:val="right"/>
            </w:pPr>
            <w:r>
              <w:rPr>
                <w:rFonts w:ascii="Arial" w:eastAsia="Arial" w:hAnsi="Arial" w:cs="Arial"/>
                <w:sz w:val="20"/>
              </w:rPr>
              <w:t xml:space="preserve">Arts Building 177  </w:t>
            </w:r>
          </w:p>
          <w:p w:rsidR="00AB5607" w:rsidRDefault="0038624F">
            <w:pPr>
              <w:spacing w:after="0" w:line="259" w:lineRule="auto"/>
              <w:ind w:left="0" w:right="117" w:firstLine="0"/>
              <w:jc w:val="right"/>
            </w:pPr>
            <w:r>
              <w:rPr>
                <w:rFonts w:ascii="Arial" w:eastAsia="Arial" w:hAnsi="Arial" w:cs="Arial"/>
                <w:sz w:val="20"/>
              </w:rPr>
              <w:t>303-315-7400 - camadvising@ucdenver.edu</w:t>
            </w:r>
            <w:r>
              <w:rPr>
                <w:rFonts w:ascii="Arial" w:eastAsia="Arial" w:hAnsi="Arial" w:cs="Arial"/>
                <w:b/>
                <w:sz w:val="20"/>
              </w:rPr>
              <w:t xml:space="preserve"> </w:t>
            </w:r>
          </w:p>
          <w:p w:rsidR="00AB5607" w:rsidRDefault="0038624F">
            <w:pPr>
              <w:spacing w:after="78" w:line="259" w:lineRule="auto"/>
              <w:ind w:left="-118" w:firstLine="0"/>
            </w:pPr>
            <w:r>
              <w:rPr>
                <w:rFonts w:ascii="Calibri" w:eastAsia="Calibri" w:hAnsi="Calibri" w:cs="Calibri"/>
                <w:noProof/>
                <w:sz w:val="22"/>
              </w:rPr>
              <mc:AlternateContent>
                <mc:Choice Requires="wpg">
                  <w:drawing>
                    <wp:inline distT="0" distB="0" distL="0" distR="0">
                      <wp:extent cx="4027043" cy="18288"/>
                      <wp:effectExtent l="0" t="0" r="0" b="0"/>
                      <wp:docPr id="15468" name="Group 15468"/>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55" name="Shape 15955"/>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468" style="width:317.09pt;height:1.44pt;mso-position-horizontal-relative:char;mso-position-vertical-relative:line" coordsize="40270,182">
                      <v:shape id="Shape 15956"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0" w:right="116" w:firstLine="0"/>
              <w:jc w:val="right"/>
            </w:pPr>
            <w:r>
              <w:rPr>
                <w:rFonts w:ascii="Arial" w:eastAsia="Arial" w:hAnsi="Arial" w:cs="Arial"/>
                <w:b/>
                <w:sz w:val="20"/>
              </w:rPr>
              <w:t xml:space="preserve">BUSINESS SCHOOL </w:t>
            </w:r>
          </w:p>
          <w:p w:rsidR="00AB5607" w:rsidRDefault="0038624F">
            <w:pPr>
              <w:spacing w:after="0" w:line="259" w:lineRule="auto"/>
              <w:ind w:left="0" w:right="114" w:firstLine="0"/>
              <w:jc w:val="right"/>
            </w:pPr>
            <w:r>
              <w:rPr>
                <w:rFonts w:ascii="Arial" w:eastAsia="Arial" w:hAnsi="Arial" w:cs="Arial"/>
                <w:sz w:val="20"/>
              </w:rPr>
              <w:t>15</w:t>
            </w:r>
            <w:r>
              <w:rPr>
                <w:rFonts w:ascii="Arial" w:eastAsia="Arial" w:hAnsi="Arial" w:cs="Arial"/>
                <w:sz w:val="20"/>
                <w:vertAlign w:val="superscript"/>
              </w:rPr>
              <w:t>th</w:t>
            </w:r>
            <w:r>
              <w:rPr>
                <w:rFonts w:ascii="Arial" w:eastAsia="Arial" w:hAnsi="Arial" w:cs="Arial"/>
                <w:sz w:val="20"/>
              </w:rPr>
              <w:t xml:space="preserve"> and Lawrence Street, 4</w:t>
            </w:r>
            <w:r>
              <w:rPr>
                <w:rFonts w:ascii="Arial" w:eastAsia="Arial" w:hAnsi="Arial" w:cs="Arial"/>
                <w:sz w:val="20"/>
                <w:vertAlign w:val="superscript"/>
              </w:rPr>
              <w:t>th</w:t>
            </w:r>
            <w:r>
              <w:rPr>
                <w:rFonts w:ascii="Arial" w:eastAsia="Arial" w:hAnsi="Arial" w:cs="Arial"/>
                <w:sz w:val="20"/>
              </w:rPr>
              <w:t xml:space="preserve"> floor  </w:t>
            </w:r>
          </w:p>
        </w:tc>
      </w:tr>
    </w:tbl>
    <w:p w:rsidR="00AB5607" w:rsidRDefault="0038624F">
      <w:pPr>
        <w:spacing w:after="0" w:line="259" w:lineRule="auto"/>
        <w:ind w:left="10" w:right="124"/>
        <w:jc w:val="right"/>
      </w:pPr>
      <w:r>
        <w:rPr>
          <w:rFonts w:ascii="Arial" w:eastAsia="Arial" w:hAnsi="Arial" w:cs="Arial"/>
          <w:sz w:val="20"/>
        </w:rPr>
        <w:t>303-315-8110 – undergrad.advising@ucdenver.edu</w:t>
      </w:r>
      <w:r>
        <w:rPr>
          <w:rFonts w:ascii="Arial" w:eastAsia="Arial" w:hAnsi="Arial" w:cs="Arial"/>
          <w:b/>
          <w:sz w:val="20"/>
        </w:rPr>
        <w:t xml:space="preserve"> </w:t>
      </w:r>
    </w:p>
    <w:p w:rsidR="00AB5607" w:rsidRDefault="0038624F">
      <w:pPr>
        <w:spacing w:after="60" w:line="259" w:lineRule="auto"/>
        <w:ind w:left="4477" w:firstLine="0"/>
      </w:pPr>
      <w:r>
        <w:rPr>
          <w:rFonts w:ascii="Calibri" w:eastAsia="Calibri" w:hAnsi="Calibri" w:cs="Calibri"/>
          <w:noProof/>
          <w:sz w:val="22"/>
        </w:rPr>
        <mc:AlternateContent>
          <mc:Choice Requires="wpg">
            <w:drawing>
              <wp:inline distT="0" distB="0" distL="0" distR="0">
                <wp:extent cx="4027043" cy="18287"/>
                <wp:effectExtent l="0" t="0" r="0" b="0"/>
                <wp:docPr id="15124" name="Group 15124"/>
                <wp:cNvGraphicFramePr/>
                <a:graphic xmlns:a="http://schemas.openxmlformats.org/drawingml/2006/main">
                  <a:graphicData uri="http://schemas.microsoft.com/office/word/2010/wordprocessingGroup">
                    <wpg:wgp>
                      <wpg:cNvGrpSpPr/>
                      <wpg:grpSpPr>
                        <a:xfrm>
                          <a:off x="0" y="0"/>
                          <a:ext cx="4027043" cy="18287"/>
                          <a:chOff x="0" y="0"/>
                          <a:chExt cx="4027043" cy="18287"/>
                        </a:xfrm>
                      </wpg:grpSpPr>
                      <wps:wsp>
                        <wps:cNvPr id="15957" name="Shape 15957"/>
                        <wps:cNvSpPr/>
                        <wps:spPr>
                          <a:xfrm>
                            <a:off x="0" y="0"/>
                            <a:ext cx="4027043" cy="18287"/>
                          </a:xfrm>
                          <a:custGeom>
                            <a:avLst/>
                            <a:gdLst/>
                            <a:ahLst/>
                            <a:cxnLst/>
                            <a:rect l="0" t="0" r="0" b="0"/>
                            <a:pathLst>
                              <a:path w="4027043" h="18287">
                                <a:moveTo>
                                  <a:pt x="0" y="0"/>
                                </a:moveTo>
                                <a:lnTo>
                                  <a:pt x="4027043" y="0"/>
                                </a:lnTo>
                                <a:lnTo>
                                  <a:pt x="4027043"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4" style="width:317.09pt;height:1.43994pt;mso-position-horizontal-relative:char;mso-position-vertical-relative:line" coordsize="40270,182">
                <v:shape id="Shape 15958" style="position:absolute;width:40270;height:182;left:0;top:0;" coordsize="4027043,18287" path="m0,0l4027043,0l4027043,18287l0,18287l0,0">
                  <v:stroke weight="0pt" endcap="flat" joinstyle="miter" miterlimit="10" on="false" color="#000000" opacity="0"/>
                  <v:fill on="true" color="#000000"/>
                </v:shape>
              </v:group>
            </w:pict>
          </mc:Fallback>
        </mc:AlternateContent>
      </w:r>
    </w:p>
    <w:p w:rsidR="00AB5607" w:rsidRDefault="0038624F">
      <w:pPr>
        <w:spacing w:after="21" w:line="259" w:lineRule="auto"/>
        <w:ind w:left="0" w:right="131" w:firstLine="0"/>
        <w:jc w:val="right"/>
      </w:pPr>
      <w:r>
        <w:rPr>
          <w:rFonts w:ascii="Arial" w:eastAsia="Arial" w:hAnsi="Arial" w:cs="Arial"/>
          <w:b/>
          <w:sz w:val="16"/>
        </w:rPr>
        <w:t xml:space="preserve">CENTER FOR UNDERGRADUATE EXPLORATION &amp; ADVISING (CUE&amp;A) </w:t>
      </w:r>
    </w:p>
    <w:p w:rsidR="00AB5607" w:rsidRDefault="0038624F">
      <w:pPr>
        <w:spacing w:after="0" w:line="259" w:lineRule="auto"/>
        <w:ind w:left="10" w:right="124"/>
        <w:jc w:val="right"/>
      </w:pPr>
      <w:r>
        <w:rPr>
          <w:rFonts w:ascii="Arial" w:eastAsia="Arial" w:hAnsi="Arial" w:cs="Arial"/>
          <w:sz w:val="20"/>
        </w:rPr>
        <w:t xml:space="preserve">Student Commons 1113 </w:t>
      </w:r>
    </w:p>
    <w:p w:rsidR="00AB5607" w:rsidRDefault="0038624F">
      <w:pPr>
        <w:spacing w:after="0" w:line="259" w:lineRule="auto"/>
        <w:ind w:left="10" w:right="124"/>
        <w:jc w:val="right"/>
      </w:pPr>
      <w:r>
        <w:rPr>
          <w:rFonts w:ascii="Arial" w:eastAsia="Arial" w:hAnsi="Arial" w:cs="Arial"/>
          <w:sz w:val="20"/>
        </w:rPr>
        <w:t>303-315-1940 - cuea@ucdenver.edu</w:t>
      </w:r>
      <w:r>
        <w:rPr>
          <w:rFonts w:ascii="Arial" w:eastAsia="Arial" w:hAnsi="Arial" w:cs="Arial"/>
          <w:b/>
          <w:sz w:val="20"/>
        </w:rPr>
        <w:t xml:space="preserve"> </w:t>
      </w:r>
    </w:p>
    <w:p w:rsidR="00AB5607" w:rsidRDefault="0038624F">
      <w:pPr>
        <w:spacing w:after="78" w:line="259" w:lineRule="auto"/>
        <w:ind w:left="4477" w:firstLine="0"/>
      </w:pPr>
      <w:r>
        <w:rPr>
          <w:rFonts w:ascii="Calibri" w:eastAsia="Calibri" w:hAnsi="Calibri" w:cs="Calibri"/>
          <w:noProof/>
          <w:sz w:val="22"/>
        </w:rPr>
        <w:lastRenderedPageBreak/>
        <mc:AlternateContent>
          <mc:Choice Requires="wpg">
            <w:drawing>
              <wp:inline distT="0" distB="0" distL="0" distR="0">
                <wp:extent cx="4027043" cy="18288"/>
                <wp:effectExtent l="0" t="0" r="0" b="0"/>
                <wp:docPr id="15125" name="Group 15125"/>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59" name="Shape 15959"/>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5" style="width:317.09pt;height:1.44pt;mso-position-horizontal-relative:char;mso-position-vertical-relative:line" coordsize="40270,182">
                <v:shape id="Shape 15960"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10" w:right="139"/>
        <w:jc w:val="right"/>
      </w:pPr>
      <w:r>
        <w:rPr>
          <w:rFonts w:ascii="Arial" w:eastAsia="Arial" w:hAnsi="Arial" w:cs="Arial"/>
          <w:b/>
          <w:sz w:val="20"/>
        </w:rPr>
        <w:t xml:space="preserve">EDUCATION AND HUMAN DEVELOPMENT (SEHD) </w:t>
      </w:r>
    </w:p>
    <w:p w:rsidR="00AB5607" w:rsidRDefault="0038624F">
      <w:pPr>
        <w:spacing w:after="0" w:line="259" w:lineRule="auto"/>
        <w:ind w:left="10" w:right="124"/>
        <w:jc w:val="right"/>
      </w:pPr>
      <w:r>
        <w:rPr>
          <w:rFonts w:ascii="Arial" w:eastAsia="Arial" w:hAnsi="Arial" w:cs="Arial"/>
          <w:sz w:val="20"/>
        </w:rPr>
        <w:t xml:space="preserve">Lawrence Street Center 701 </w:t>
      </w:r>
    </w:p>
    <w:p w:rsidR="00AB5607" w:rsidRDefault="0038624F">
      <w:pPr>
        <w:spacing w:after="0" w:line="259" w:lineRule="auto"/>
        <w:ind w:left="10" w:right="124"/>
        <w:jc w:val="right"/>
      </w:pPr>
      <w:r>
        <w:rPr>
          <w:rFonts w:ascii="Arial" w:eastAsia="Arial" w:hAnsi="Arial" w:cs="Arial"/>
          <w:sz w:val="20"/>
        </w:rPr>
        <w:t>303-315-6300 - education@ucdenver.edu</w:t>
      </w:r>
      <w:r>
        <w:rPr>
          <w:rFonts w:ascii="Arial" w:eastAsia="Arial" w:hAnsi="Arial" w:cs="Arial"/>
          <w:b/>
          <w:sz w:val="20"/>
        </w:rPr>
        <w:t xml:space="preserve"> </w:t>
      </w:r>
    </w:p>
    <w:p w:rsidR="00AB5607" w:rsidRDefault="0038624F">
      <w:pPr>
        <w:spacing w:after="76" w:line="259" w:lineRule="auto"/>
        <w:ind w:left="4477" w:firstLine="0"/>
      </w:pPr>
      <w:r>
        <w:rPr>
          <w:rFonts w:ascii="Calibri" w:eastAsia="Calibri" w:hAnsi="Calibri" w:cs="Calibri"/>
          <w:noProof/>
          <w:sz w:val="22"/>
        </w:rPr>
        <mc:AlternateContent>
          <mc:Choice Requires="wpg">
            <w:drawing>
              <wp:inline distT="0" distB="0" distL="0" distR="0">
                <wp:extent cx="4027043" cy="18288"/>
                <wp:effectExtent l="0" t="0" r="0" b="0"/>
                <wp:docPr id="15126" name="Group 15126"/>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61" name="Shape 15961"/>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6" style="width:317.09pt;height:1.44pt;mso-position-horizontal-relative:char;mso-position-vertical-relative:line" coordsize="40270,182">
                <v:shape id="Shape 15962"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10" w:right="139"/>
        <w:jc w:val="right"/>
      </w:pPr>
      <w:r>
        <w:rPr>
          <w:rFonts w:ascii="Arial" w:eastAsia="Arial" w:hAnsi="Arial" w:cs="Arial"/>
          <w:b/>
          <w:sz w:val="20"/>
        </w:rPr>
        <w:t xml:space="preserve">ENGINEERING, DESIGN AND COMPUTING (CEDC) </w:t>
      </w:r>
    </w:p>
    <w:p w:rsidR="00AB5607" w:rsidRDefault="0038624F">
      <w:pPr>
        <w:spacing w:after="0" w:line="259" w:lineRule="auto"/>
        <w:ind w:left="10" w:right="124"/>
        <w:jc w:val="right"/>
      </w:pPr>
      <w:r>
        <w:rPr>
          <w:rFonts w:ascii="Arial" w:eastAsia="Arial" w:hAnsi="Arial" w:cs="Arial"/>
          <w:sz w:val="20"/>
        </w:rPr>
        <w:t xml:space="preserve">North Classroom 3034  </w:t>
      </w:r>
    </w:p>
    <w:p w:rsidR="00AB5607" w:rsidRDefault="0038624F">
      <w:pPr>
        <w:spacing w:after="0" w:line="259" w:lineRule="auto"/>
        <w:ind w:left="10" w:right="124"/>
        <w:jc w:val="right"/>
      </w:pPr>
      <w:r>
        <w:rPr>
          <w:rFonts w:ascii="Arial" w:eastAsia="Arial" w:hAnsi="Arial" w:cs="Arial"/>
          <w:sz w:val="20"/>
        </w:rPr>
        <w:t xml:space="preserve">303-315-7170 - engineering@ucdenver.edu </w:t>
      </w:r>
    </w:p>
    <w:p w:rsidR="00AB5607" w:rsidRDefault="0038624F">
      <w:pPr>
        <w:spacing w:after="76" w:line="259" w:lineRule="auto"/>
        <w:ind w:left="4477" w:firstLine="0"/>
      </w:pPr>
      <w:r>
        <w:rPr>
          <w:rFonts w:ascii="Calibri" w:eastAsia="Calibri" w:hAnsi="Calibri" w:cs="Calibri"/>
          <w:noProof/>
          <w:sz w:val="22"/>
        </w:rPr>
        <mc:AlternateContent>
          <mc:Choice Requires="wpg">
            <w:drawing>
              <wp:inline distT="0" distB="0" distL="0" distR="0">
                <wp:extent cx="4027043" cy="18288"/>
                <wp:effectExtent l="0" t="0" r="0" b="0"/>
                <wp:docPr id="15127" name="Group 15127"/>
                <wp:cNvGraphicFramePr/>
                <a:graphic xmlns:a="http://schemas.openxmlformats.org/drawingml/2006/main">
                  <a:graphicData uri="http://schemas.microsoft.com/office/word/2010/wordprocessingGroup">
                    <wpg:wgp>
                      <wpg:cNvGrpSpPr/>
                      <wpg:grpSpPr>
                        <a:xfrm>
                          <a:off x="0" y="0"/>
                          <a:ext cx="4027043" cy="18288"/>
                          <a:chOff x="0" y="0"/>
                          <a:chExt cx="4027043" cy="18288"/>
                        </a:xfrm>
                      </wpg:grpSpPr>
                      <wps:wsp>
                        <wps:cNvPr id="15963" name="Shape 15963"/>
                        <wps:cNvSpPr/>
                        <wps:spPr>
                          <a:xfrm>
                            <a:off x="0" y="0"/>
                            <a:ext cx="4027043" cy="18288"/>
                          </a:xfrm>
                          <a:custGeom>
                            <a:avLst/>
                            <a:gdLst/>
                            <a:ahLst/>
                            <a:cxnLst/>
                            <a:rect l="0" t="0" r="0" b="0"/>
                            <a:pathLst>
                              <a:path w="4027043" h="18288">
                                <a:moveTo>
                                  <a:pt x="0" y="0"/>
                                </a:moveTo>
                                <a:lnTo>
                                  <a:pt x="4027043" y="0"/>
                                </a:lnTo>
                                <a:lnTo>
                                  <a:pt x="402704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127" style="width:317.09pt;height:1.44pt;mso-position-horizontal-relative:char;mso-position-vertical-relative:line" coordsize="40270,182">
                <v:shape id="Shape 15964" style="position:absolute;width:40270;height:182;left:0;top:0;" coordsize="4027043,18288" path="m0,0l4027043,0l4027043,18288l0,18288l0,0">
                  <v:stroke weight="0pt" endcap="flat" joinstyle="miter" miterlimit="10" on="false" color="#000000" opacity="0"/>
                  <v:fill on="true" color="#000000"/>
                </v:shape>
              </v:group>
            </w:pict>
          </mc:Fallback>
        </mc:AlternateContent>
      </w:r>
    </w:p>
    <w:p w:rsidR="00AB5607" w:rsidRDefault="0038624F">
      <w:pPr>
        <w:spacing w:after="0" w:line="259" w:lineRule="auto"/>
        <w:ind w:left="10" w:right="139"/>
        <w:jc w:val="right"/>
      </w:pPr>
      <w:r>
        <w:rPr>
          <w:rFonts w:ascii="Arial" w:eastAsia="Arial" w:hAnsi="Arial" w:cs="Arial"/>
          <w:b/>
          <w:sz w:val="20"/>
        </w:rPr>
        <w:t xml:space="preserve">LIBERAL ARTS AND SCIENCES (CLAS) </w:t>
      </w:r>
    </w:p>
    <w:p w:rsidR="00AB5607" w:rsidRDefault="0038624F">
      <w:pPr>
        <w:spacing w:after="0" w:line="259" w:lineRule="auto"/>
        <w:ind w:left="10" w:right="124"/>
        <w:jc w:val="right"/>
      </w:pPr>
      <w:r>
        <w:rPr>
          <w:rFonts w:ascii="Arial" w:eastAsia="Arial" w:hAnsi="Arial" w:cs="Arial"/>
          <w:sz w:val="20"/>
        </w:rPr>
        <w:t xml:space="preserve">North Classroom 1030  </w:t>
      </w:r>
    </w:p>
    <w:p w:rsidR="00AB5607" w:rsidRDefault="0038624F">
      <w:pPr>
        <w:spacing w:after="0" w:line="259" w:lineRule="auto"/>
        <w:ind w:left="10" w:right="124"/>
        <w:jc w:val="right"/>
      </w:pPr>
      <w:r>
        <w:rPr>
          <w:rFonts w:ascii="Arial" w:eastAsia="Arial" w:hAnsi="Arial" w:cs="Arial"/>
          <w:sz w:val="20"/>
        </w:rPr>
        <w:t>303-315-7100 – clas_advising@ucdenver.edu</w:t>
      </w:r>
      <w:r>
        <w:rPr>
          <w:rFonts w:ascii="Arial" w:eastAsia="Arial" w:hAnsi="Arial" w:cs="Arial"/>
          <w:b/>
          <w:sz w:val="20"/>
        </w:rPr>
        <w:t xml:space="preserve"> </w:t>
      </w:r>
    </w:p>
    <w:tbl>
      <w:tblPr>
        <w:tblStyle w:val="TableGrid"/>
        <w:tblW w:w="10933" w:type="dxa"/>
        <w:tblInd w:w="-113" w:type="dxa"/>
        <w:tblCellMar>
          <w:top w:w="74" w:type="dxa"/>
          <w:left w:w="113" w:type="dxa"/>
          <w:right w:w="43" w:type="dxa"/>
        </w:tblCellMar>
        <w:tblLook w:val="04A0" w:firstRow="1" w:lastRow="0" w:firstColumn="1" w:lastColumn="0" w:noHBand="0" w:noVBand="1"/>
      </w:tblPr>
      <w:tblGrid>
        <w:gridCol w:w="4707"/>
        <w:gridCol w:w="6226"/>
      </w:tblGrid>
      <w:tr w:rsidR="00AB5607">
        <w:trPr>
          <w:trHeight w:val="787"/>
        </w:trPr>
        <w:tc>
          <w:tcPr>
            <w:tcW w:w="4707" w:type="dxa"/>
            <w:tcBorders>
              <w:top w:val="nil"/>
              <w:left w:val="nil"/>
              <w:bottom w:val="single" w:sz="4" w:space="0" w:color="000000"/>
              <w:right w:val="nil"/>
            </w:tcBorders>
          </w:tcPr>
          <w:p w:rsidR="00AB5607" w:rsidRDefault="00AB5607">
            <w:pPr>
              <w:spacing w:after="160" w:line="259" w:lineRule="auto"/>
              <w:ind w:left="0" w:firstLine="0"/>
            </w:pPr>
          </w:p>
        </w:tc>
        <w:tc>
          <w:tcPr>
            <w:tcW w:w="6225" w:type="dxa"/>
            <w:tcBorders>
              <w:top w:val="single" w:sz="12" w:space="0" w:color="000000"/>
              <w:left w:val="nil"/>
              <w:bottom w:val="single" w:sz="4" w:space="0" w:color="000000"/>
              <w:right w:val="nil"/>
            </w:tcBorders>
          </w:tcPr>
          <w:p w:rsidR="00AB5607" w:rsidRDefault="0038624F">
            <w:pPr>
              <w:spacing w:after="0" w:line="259" w:lineRule="auto"/>
              <w:ind w:left="0" w:right="68" w:firstLine="0"/>
              <w:jc w:val="right"/>
            </w:pPr>
            <w:r>
              <w:rPr>
                <w:rFonts w:ascii="Arial" w:eastAsia="Arial" w:hAnsi="Arial" w:cs="Arial"/>
                <w:b/>
                <w:sz w:val="20"/>
              </w:rPr>
              <w:t xml:space="preserve">PUBLIC AFFAIRS (SPA) </w:t>
            </w:r>
          </w:p>
          <w:p w:rsidR="00AB5607" w:rsidRDefault="0038624F">
            <w:pPr>
              <w:spacing w:after="0" w:line="259" w:lineRule="auto"/>
              <w:ind w:left="0" w:right="69" w:firstLine="0"/>
              <w:jc w:val="right"/>
            </w:pPr>
            <w:r>
              <w:rPr>
                <w:rFonts w:ascii="Arial" w:eastAsia="Arial" w:hAnsi="Arial" w:cs="Arial"/>
                <w:sz w:val="20"/>
              </w:rPr>
              <w:t xml:space="preserve">Lawrence Street Center 525 </w:t>
            </w:r>
          </w:p>
          <w:p w:rsidR="00AB5607" w:rsidRDefault="0038624F">
            <w:pPr>
              <w:spacing w:after="0" w:line="259" w:lineRule="auto"/>
              <w:ind w:left="0" w:right="70" w:firstLine="0"/>
              <w:jc w:val="right"/>
            </w:pPr>
            <w:r>
              <w:rPr>
                <w:rFonts w:ascii="Arial" w:eastAsia="Arial" w:hAnsi="Arial" w:cs="Arial"/>
                <w:sz w:val="20"/>
              </w:rPr>
              <w:t>303-315-2228 - spa@ucdenver.edu</w:t>
            </w:r>
            <w:r>
              <w:rPr>
                <w:rFonts w:ascii="Arial" w:eastAsia="Arial" w:hAnsi="Arial" w:cs="Arial"/>
                <w:b/>
                <w:sz w:val="20"/>
              </w:rPr>
              <w:t xml:space="preserve"> </w:t>
            </w:r>
          </w:p>
        </w:tc>
      </w:tr>
      <w:tr w:rsidR="00AB5607">
        <w:trPr>
          <w:trHeight w:val="744"/>
        </w:trPr>
        <w:tc>
          <w:tcPr>
            <w:tcW w:w="10933" w:type="dxa"/>
            <w:gridSpan w:val="2"/>
            <w:tcBorders>
              <w:top w:val="single" w:sz="4" w:space="0" w:color="000000"/>
              <w:left w:val="single" w:sz="4" w:space="0" w:color="000000"/>
              <w:bottom w:val="single" w:sz="4" w:space="0" w:color="000000"/>
              <w:right w:val="single" w:sz="4" w:space="0" w:color="000000"/>
            </w:tcBorders>
          </w:tcPr>
          <w:p w:rsidR="00AB5607" w:rsidRDefault="0038624F">
            <w:pPr>
              <w:spacing w:after="0" w:line="259" w:lineRule="auto"/>
              <w:ind w:left="193" w:firstLine="0"/>
            </w:pPr>
            <w:r>
              <w:rPr>
                <w:rFonts w:ascii="Arial" w:eastAsia="Arial" w:hAnsi="Arial" w:cs="Arial"/>
                <w:b/>
                <w:sz w:val="38"/>
              </w:rPr>
              <w:t>Plan Ahead!</w:t>
            </w:r>
            <w:r>
              <w:rPr>
                <w:rFonts w:ascii="Arial" w:eastAsia="Arial" w:hAnsi="Arial" w:cs="Arial"/>
                <w:b/>
                <w:sz w:val="36"/>
              </w:rPr>
              <w:t xml:space="preserve"> Review Important Dates &amp; Deadlines at</w:t>
            </w:r>
            <w:r>
              <w:rPr>
                <w:rFonts w:ascii="Arial" w:eastAsia="Arial" w:hAnsi="Arial" w:cs="Arial"/>
                <w:b/>
                <w:sz w:val="22"/>
              </w:rPr>
              <w:t xml:space="preserve"> </w:t>
            </w:r>
          </w:p>
          <w:p w:rsidR="00AB5607" w:rsidRDefault="000D1971">
            <w:pPr>
              <w:spacing w:after="0" w:line="259" w:lineRule="auto"/>
              <w:ind w:left="0" w:firstLine="0"/>
              <w:jc w:val="both"/>
            </w:pPr>
            <w:hyperlink r:id="rId29">
              <w:r w:rsidR="0038624F">
                <w:rPr>
                  <w:rFonts w:ascii="Arial" w:eastAsia="Arial" w:hAnsi="Arial" w:cs="Arial"/>
                  <w:b/>
                  <w:color w:val="0070C0"/>
                  <w:sz w:val="28"/>
                  <w:u w:val="single" w:color="0070C0"/>
                </w:rPr>
                <w:t>ucdenver.edu/registrar</w:t>
              </w:r>
            </w:hyperlink>
            <w:hyperlink r:id="rId30">
              <w:r w:rsidR="0038624F">
                <w:rPr>
                  <w:rFonts w:ascii="Arial" w:eastAsia="Arial" w:hAnsi="Arial" w:cs="Arial"/>
                  <w:b/>
                  <w:color w:val="2E74B5"/>
                  <w:sz w:val="28"/>
                </w:rPr>
                <w:t xml:space="preserve"> </w:t>
              </w:r>
            </w:hyperlink>
            <w:r w:rsidR="0038624F">
              <w:rPr>
                <w:rFonts w:ascii="Arial" w:eastAsia="Arial" w:hAnsi="Arial" w:cs="Arial"/>
                <w:b/>
                <w:sz w:val="28"/>
              </w:rPr>
              <w:t>&gt;&gt; CU Denver Registrar &gt;&gt; Academic Calendar</w:t>
            </w:r>
            <w:r w:rsidR="0038624F">
              <w:rPr>
                <w:rFonts w:ascii="Arial" w:eastAsia="Arial" w:hAnsi="Arial" w:cs="Arial"/>
                <w:b/>
                <w:sz w:val="22"/>
              </w:rPr>
              <w:t xml:space="preserve"> </w:t>
            </w:r>
          </w:p>
        </w:tc>
      </w:tr>
    </w:tbl>
    <w:p w:rsidR="00AB5607" w:rsidRDefault="0038624F">
      <w:pPr>
        <w:spacing w:after="0" w:line="259" w:lineRule="auto"/>
        <w:ind w:left="0" w:right="177" w:firstLine="0"/>
        <w:jc w:val="right"/>
      </w:pPr>
      <w:r>
        <w:rPr>
          <w:rFonts w:ascii="Calibri" w:eastAsia="Calibri" w:hAnsi="Calibri" w:cs="Calibri"/>
          <w:i/>
          <w:sz w:val="16"/>
        </w:rPr>
        <w:t xml:space="preserve">Updated 10/10/2019 10am </w:t>
      </w:r>
    </w:p>
    <w:sectPr w:rsidR="00AB5607">
      <w:pgSz w:w="12240" w:h="15840"/>
      <w:pgMar w:top="577" w:right="539" w:bottom="596" w:left="8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00F"/>
    <w:multiLevelType w:val="hybridMultilevel"/>
    <w:tmpl w:val="51F4917C"/>
    <w:lvl w:ilvl="0" w:tplc="D70684D2">
      <w:start w:val="1"/>
      <w:numFmt w:val="decimal"/>
      <w:lvlText w:val="%1."/>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A68A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C957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26E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67F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14DF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E67D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7D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87B1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5A7616"/>
    <w:multiLevelType w:val="hybridMultilevel"/>
    <w:tmpl w:val="D8C0F5D0"/>
    <w:lvl w:ilvl="0" w:tplc="F3DCCE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82E3A">
      <w:start w:val="1"/>
      <w:numFmt w:val="lowerLetter"/>
      <w:lvlText w:val="%2."/>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E8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F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C1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EE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05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21D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47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834808"/>
    <w:multiLevelType w:val="hybridMultilevel"/>
    <w:tmpl w:val="3BF218A2"/>
    <w:lvl w:ilvl="0" w:tplc="7D7EDA36">
      <w:start w:val="4"/>
      <w:numFmt w:val="decimal"/>
      <w:lvlText w:val="%1."/>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68D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0D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009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BA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9A35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1AE2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E2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643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4A4DEA"/>
    <w:multiLevelType w:val="hybridMultilevel"/>
    <w:tmpl w:val="9DAEC032"/>
    <w:lvl w:ilvl="0" w:tplc="B8ECE436">
      <w:start w:val="1"/>
      <w:numFmt w:val="decimal"/>
      <w:lvlText w:val="%1."/>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0F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8A8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F823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4E0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CC5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024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2B4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8ED4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B12E1B"/>
    <w:multiLevelType w:val="hybridMultilevel"/>
    <w:tmpl w:val="E66A10FC"/>
    <w:lvl w:ilvl="0" w:tplc="FD7ACAC2">
      <w:start w:val="1"/>
      <w:numFmt w:val="decimal"/>
      <w:lvlText w:val="%1."/>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8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698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C32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0CB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DE29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CAA0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44B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E4E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4E522E"/>
    <w:multiLevelType w:val="hybridMultilevel"/>
    <w:tmpl w:val="F080115E"/>
    <w:lvl w:ilvl="0" w:tplc="9E86FDCE">
      <w:start w:val="1"/>
      <w:numFmt w:val="decimal"/>
      <w:lvlText w:val="%1."/>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24EE8">
      <w:start w:val="1"/>
      <w:numFmt w:val="decimal"/>
      <w:lvlText w:val="%2."/>
      <w:lvlJc w:val="left"/>
      <w:pPr>
        <w:ind w:left="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F860BE">
      <w:start w:val="1"/>
      <w:numFmt w:val="lowerLetter"/>
      <w:lvlText w:val="%3."/>
      <w:lvlJc w:val="left"/>
      <w:pPr>
        <w:ind w:left="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C33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498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6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8A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615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E3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621A71"/>
    <w:multiLevelType w:val="hybridMultilevel"/>
    <w:tmpl w:val="496C2B0A"/>
    <w:lvl w:ilvl="0" w:tplc="8B3298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8E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45580">
      <w:start w:val="1"/>
      <w:numFmt w:val="lowerLetter"/>
      <w:lvlRestart w:val="0"/>
      <w:lvlText w:val="%3."/>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21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0B1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384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8A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460B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8A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561E4C"/>
    <w:multiLevelType w:val="hybridMultilevel"/>
    <w:tmpl w:val="EBA013B0"/>
    <w:lvl w:ilvl="0" w:tplc="931ACE9A">
      <w:start w:val="1"/>
      <w:numFmt w:val="bullet"/>
      <w:lvlText w:val="•"/>
      <w:lvlJc w:val="left"/>
      <w:pPr>
        <w:ind w:left="2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C8E5AC">
      <w:start w:val="1"/>
      <w:numFmt w:val="bullet"/>
      <w:lvlText w:val="o"/>
      <w:lvlJc w:val="left"/>
      <w:pPr>
        <w:ind w:left="2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3E407A">
      <w:start w:val="1"/>
      <w:numFmt w:val="bullet"/>
      <w:lvlText w:val="▪"/>
      <w:lvlJc w:val="left"/>
      <w:pPr>
        <w:ind w:left="2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2210F2">
      <w:start w:val="1"/>
      <w:numFmt w:val="bullet"/>
      <w:lvlText w:val="•"/>
      <w:lvlJc w:val="left"/>
      <w:pPr>
        <w:ind w:left="3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027EB4">
      <w:start w:val="1"/>
      <w:numFmt w:val="bullet"/>
      <w:lvlText w:val="o"/>
      <w:lvlJc w:val="left"/>
      <w:pPr>
        <w:ind w:left="4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03A56">
      <w:start w:val="1"/>
      <w:numFmt w:val="bullet"/>
      <w:lvlText w:val="▪"/>
      <w:lvlJc w:val="left"/>
      <w:pPr>
        <w:ind w:left="4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D24EBA">
      <w:start w:val="1"/>
      <w:numFmt w:val="bullet"/>
      <w:lvlText w:val="•"/>
      <w:lvlJc w:val="left"/>
      <w:pPr>
        <w:ind w:left="5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ABF06">
      <w:start w:val="1"/>
      <w:numFmt w:val="bullet"/>
      <w:lvlText w:val="o"/>
      <w:lvlJc w:val="left"/>
      <w:pPr>
        <w:ind w:left="6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6E2952">
      <w:start w:val="1"/>
      <w:numFmt w:val="bullet"/>
      <w:lvlText w:val="▪"/>
      <w:lvlJc w:val="left"/>
      <w:pPr>
        <w:ind w:left="7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607"/>
    <w:rsid w:val="000D1971"/>
    <w:rsid w:val="0038624F"/>
    <w:rsid w:val="003C2568"/>
    <w:rsid w:val="00584016"/>
    <w:rsid w:val="005D39FC"/>
    <w:rsid w:val="00AB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0279"/>
  <w15:docId w15:val="{2A062043-4F6F-4391-8EA6-8B2BCD7D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604"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right="143"/>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cdenver.edu/care" TargetMode="External"/><Relationship Id="rId13" Type="http://schemas.openxmlformats.org/officeDocument/2006/relationships/hyperlink" Target="http://ucdenver.edu/careercenter" TargetMode="External"/><Relationship Id="rId18" Type="http://schemas.openxmlformats.org/officeDocument/2006/relationships/hyperlink" Target="http://www.thepca.org/" TargetMode="External"/><Relationship Id="rId26" Type="http://schemas.openxmlformats.org/officeDocument/2006/relationships/hyperlink" Target="http://writingcenter.ucdenver.edu/" TargetMode="External"/><Relationship Id="rId3" Type="http://schemas.openxmlformats.org/officeDocument/2006/relationships/settings" Target="settings.xml"/><Relationship Id="rId21" Type="http://schemas.openxmlformats.org/officeDocument/2006/relationships/hyperlink" Target="http://ucdenver.edu/lrc" TargetMode="External"/><Relationship Id="rId7" Type="http://schemas.openxmlformats.org/officeDocument/2006/relationships/hyperlink" Target="http://www.ucdenver.edu/lynxcenter" TargetMode="External"/><Relationship Id="rId12" Type="http://schemas.openxmlformats.org/officeDocument/2006/relationships/hyperlink" Target="http://ucdenver.edu/careercenter" TargetMode="External"/><Relationship Id="rId17" Type="http://schemas.openxmlformats.org/officeDocument/2006/relationships/hyperlink" Target="http://equity.ucdenver.edu/" TargetMode="External"/><Relationship Id="rId25" Type="http://schemas.openxmlformats.org/officeDocument/2006/relationships/hyperlink" Target="http://writingcenter.ucdenver.edu/" TargetMode="External"/><Relationship Id="rId2" Type="http://schemas.openxmlformats.org/officeDocument/2006/relationships/styles" Target="styles.xml"/><Relationship Id="rId16" Type="http://schemas.openxmlformats.org/officeDocument/2006/relationships/hyperlink" Target="http://equity.ucdenver.edu/" TargetMode="External"/><Relationship Id="rId20" Type="http://schemas.openxmlformats.org/officeDocument/2006/relationships/hyperlink" Target="http://ucdenver.edu/lrc" TargetMode="External"/><Relationship Id="rId29" Type="http://schemas.openxmlformats.org/officeDocument/2006/relationships/hyperlink" Target="http://ucdenver.edu/registrar" TargetMode="External"/><Relationship Id="rId1" Type="http://schemas.openxmlformats.org/officeDocument/2006/relationships/numbering" Target="numbering.xml"/><Relationship Id="rId6" Type="http://schemas.openxmlformats.org/officeDocument/2006/relationships/hyperlink" Target="http://www.ucdenver.edu/lynxcenter" TargetMode="External"/><Relationship Id="rId11" Type="http://schemas.openxmlformats.org/officeDocument/2006/relationships/hyperlink" Target="http://ucdenver.edu/careercenter" TargetMode="External"/><Relationship Id="rId24" Type="http://schemas.openxmlformats.org/officeDocument/2006/relationships/hyperlink" Target="http://math.ucdenver.edu/~mkawai/MERC" TargetMode="External"/><Relationship Id="rId32" Type="http://schemas.openxmlformats.org/officeDocument/2006/relationships/theme" Target="theme/theme1.xml"/><Relationship Id="rId5" Type="http://schemas.openxmlformats.org/officeDocument/2006/relationships/hyperlink" Target="http://www.ucdenver.edu/lynxcenter" TargetMode="External"/><Relationship Id="rId15" Type="http://schemas.openxmlformats.org/officeDocument/2006/relationships/hyperlink" Target="http://www.ucdenver.edu/disabilityresources" TargetMode="External"/><Relationship Id="rId23" Type="http://schemas.openxmlformats.org/officeDocument/2006/relationships/hyperlink" Target="http://math.ucdenver.edu/~mkawai/MERC" TargetMode="External"/><Relationship Id="rId28" Type="http://schemas.openxmlformats.org/officeDocument/2006/relationships/hyperlink" Target="http://ucdenver.edu/undergradadvising" TargetMode="External"/><Relationship Id="rId10" Type="http://schemas.openxmlformats.org/officeDocument/2006/relationships/hyperlink" Target="http://www.ucdenver.edu/care" TargetMode="External"/><Relationship Id="rId19" Type="http://schemas.openxmlformats.org/officeDocument/2006/relationships/hyperlink" Target="http://www.thepca.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denver.edu/care" TargetMode="External"/><Relationship Id="rId14" Type="http://schemas.openxmlformats.org/officeDocument/2006/relationships/hyperlink" Target="http://www.ucdenver.edu/disabilityresources" TargetMode="External"/><Relationship Id="rId22" Type="http://schemas.openxmlformats.org/officeDocument/2006/relationships/hyperlink" Target="http://ucdenver.edu/lrc" TargetMode="External"/><Relationship Id="rId27" Type="http://schemas.openxmlformats.org/officeDocument/2006/relationships/hyperlink" Target="http://ucdenver.edu/undergradadvising" TargetMode="External"/><Relationship Id="rId30" Type="http://schemas.openxmlformats.org/officeDocument/2006/relationships/hyperlink" Target="http://ucdenver.edu/regist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Microsoft Word - NHDC 1400 Syllabus.docx</vt:lpstr>
    </vt:vector>
  </TitlesOfParts>
  <Company>Jefferson County Public Schools</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NHDC 1400 Syllabus.docx</dc:title>
  <dc:subject/>
  <dc:creator>Cvanciger Kelly</dc:creator>
  <cp:keywords/>
  <cp:lastModifiedBy>Cvanciger Kelly</cp:lastModifiedBy>
  <cp:revision>6</cp:revision>
  <dcterms:created xsi:type="dcterms:W3CDTF">2020-07-27T14:27:00Z</dcterms:created>
  <dcterms:modified xsi:type="dcterms:W3CDTF">2023-09-05T19:06:00Z</dcterms:modified>
</cp:coreProperties>
</file>