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4CE" w:rsidRPr="001355D1" w:rsidRDefault="002564CE" w:rsidP="000C0ECD">
      <w:pPr>
        <w:jc w:val="center"/>
        <w:rPr>
          <w:rFonts w:ascii="Times New Roman" w:hAnsi="Times New Roman"/>
          <w:b/>
          <w:sz w:val="24"/>
          <w:szCs w:val="24"/>
        </w:rPr>
      </w:pPr>
      <w:r w:rsidRPr="001355D1">
        <w:rPr>
          <w:rFonts w:ascii="Times New Roman" w:hAnsi="Times New Roman"/>
          <w:b/>
          <w:sz w:val="24"/>
          <w:szCs w:val="24"/>
        </w:rPr>
        <w:t>Appendix</w:t>
      </w:r>
      <w:r w:rsidR="00404C28">
        <w:rPr>
          <w:rFonts w:ascii="Times New Roman" w:hAnsi="Times New Roman"/>
          <w:b/>
          <w:sz w:val="24"/>
          <w:szCs w:val="24"/>
        </w:rPr>
        <w:t xml:space="preserve"> A</w:t>
      </w:r>
      <w:bookmarkStart w:id="0" w:name="_GoBack"/>
      <w:bookmarkEnd w:id="0"/>
    </w:p>
    <w:p w:rsidR="002564CE" w:rsidRDefault="002564CE">
      <w:pPr>
        <w:rPr>
          <w:rFonts w:ascii="Times New Roman" w:hAnsi="Times New Roman"/>
          <w:sz w:val="24"/>
          <w:szCs w:val="24"/>
        </w:rPr>
      </w:pPr>
    </w:p>
    <w:p w:rsidR="002564CE" w:rsidRDefault="002564CE">
      <w:pPr>
        <w:rPr>
          <w:rFonts w:ascii="Times New Roman" w:hAnsi="Times New Roman"/>
          <w:sz w:val="24"/>
          <w:szCs w:val="24"/>
        </w:rPr>
      </w:pPr>
      <w:r>
        <w:rPr>
          <w:rFonts w:ascii="Times New Roman" w:hAnsi="Times New Roman"/>
          <w:sz w:val="24"/>
          <w:szCs w:val="24"/>
        </w:rPr>
        <w:t xml:space="preserve">We estimate models assuming independent observations following the density given by </w:t>
      </w:r>
    </w:p>
    <w:p w:rsidR="002564CE" w:rsidRDefault="002564CE">
      <w:pPr>
        <w:rPr>
          <w:rFonts w:ascii="Times New Roman" w:hAnsi="Times New Roman"/>
          <w:sz w:val="24"/>
          <w:szCs w:val="24"/>
        </w:rPr>
      </w:pPr>
      <m:oMathPara>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y</m:t>
              </m:r>
            </m:e>
          </m:d>
          <m:r>
            <w:rPr>
              <w:rFonts w:ascii="Cambria Math" w:hAnsi="Cambria Math"/>
              <w:sz w:val="24"/>
              <w:szCs w:val="24"/>
            </w:rPr>
            <m:t xml:space="preserve">dy= </m:t>
          </m:r>
          <m:sSup>
            <m:sSupPr>
              <m:ctrlPr>
                <w:rPr>
                  <w:rFonts w:ascii="Cambria Math" w:hAnsi="Cambria Math"/>
                  <w:i/>
                  <w:sz w:val="24"/>
                  <w:szCs w:val="24"/>
                </w:rPr>
              </m:ctrlPr>
            </m:sSupPr>
            <m:e>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2</m:t>
                      </m:r>
                    </m:sup>
                    <m:e>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j</m:t>
                          </m:r>
                        </m:sub>
                      </m:sSub>
                    </m:e>
                  </m:nary>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j</m:t>
                          </m:r>
                        </m:sub>
                      </m:sSub>
                    </m:den>
                  </m:f>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y-</m:t>
                          </m:r>
                          <m:sSub>
                            <m:sSubPr>
                              <m:ctrlPr>
                                <w:rPr>
                                  <w:rFonts w:ascii="Cambria Math" w:hAnsi="Cambria Math"/>
                                  <w:i/>
                                  <w:sz w:val="24"/>
                                  <w:szCs w:val="24"/>
                                </w:rPr>
                              </m:ctrlPr>
                            </m:sSubPr>
                            <m:e>
                              <m:r>
                                <m:rPr>
                                  <m:sty m:val="bi"/>
                                </m:rPr>
                                <w:rPr>
                                  <w:rFonts w:ascii="Cambria Math" w:hAnsi="Cambria Math"/>
                                  <w:sz w:val="24"/>
                                  <w:szCs w:val="24"/>
                                </w:rPr>
                                <m:t>x</m:t>
                              </m:r>
                              <m:r>
                                <w:rPr>
                                  <w:rFonts w:ascii="Cambria Math" w:hAnsi="Cambria Math"/>
                                  <w:sz w:val="24"/>
                                  <w:szCs w:val="24"/>
                                </w:rPr>
                                <m:t>'</m:t>
                              </m:r>
                            </m:e>
                            <m:sub>
                              <m:r>
                                <w:rPr>
                                  <w:rFonts w:ascii="Cambria Math" w:hAnsi="Cambria Math"/>
                                  <w:sz w:val="24"/>
                                  <w:szCs w:val="24"/>
                                </w:rPr>
                                <m:t>j</m:t>
                              </m:r>
                            </m:sub>
                          </m:sSub>
                          <m:sSub>
                            <m:sSubPr>
                              <m:ctrlPr>
                                <w:rPr>
                                  <w:rFonts w:ascii="Cambria Math" w:hAnsi="Cambria Math"/>
                                  <w:i/>
                                  <w:sz w:val="24"/>
                                  <w:szCs w:val="24"/>
                                </w:rPr>
                              </m:ctrlPr>
                            </m:sSubPr>
                            <m:e>
                              <m:r>
                                <m:rPr>
                                  <m:sty m:val="bi"/>
                                </m:rPr>
                                <w:rPr>
                                  <w:rFonts w:ascii="Cambria Math" w:hAnsi="Cambria Math"/>
                                  <w:sz w:val="24"/>
                                  <w:szCs w:val="24"/>
                                </w:rPr>
                                <m:t>β</m:t>
                              </m:r>
                            </m:e>
                            <m:sub>
                              <m:r>
                                <w:rPr>
                                  <w:rFonts w:ascii="Cambria Math" w:hAnsi="Cambria Math"/>
                                  <w:sz w:val="24"/>
                                  <w:szCs w:val="24"/>
                                </w:rPr>
                                <m:t>j</m:t>
                              </m:r>
                            </m:sub>
                          </m:sSub>
                        </m:num>
                        <m:den>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j</m:t>
                              </m:r>
                            </m:sub>
                          </m:sSub>
                        </m:den>
                      </m:f>
                    </m:e>
                  </m:d>
                  <m:r>
                    <w:rPr>
                      <w:rFonts w:ascii="Cambria Math" w:hAnsi="Cambria Math"/>
                      <w:sz w:val="24"/>
                      <w:szCs w:val="24"/>
                    </w:rPr>
                    <m:t>dy</m:t>
                  </m:r>
                </m:e>
              </m:d>
            </m:e>
            <m:sup>
              <m:r>
                <w:rPr>
                  <w:rFonts w:ascii="Cambria Math" w:hAnsi="Cambria Math"/>
                  <w:sz w:val="24"/>
                  <w:szCs w:val="24"/>
                </w:rPr>
                <m:t>(1-d)</m:t>
              </m:r>
            </m:sup>
          </m:sSup>
          <m:sSup>
            <m:sSupPr>
              <m:ctrlPr>
                <w:rPr>
                  <w:rFonts w:ascii="Cambria Math" w:hAnsi="Cambria Math"/>
                  <w:i/>
                  <w:sz w:val="24"/>
                  <w:szCs w:val="24"/>
                </w:rPr>
              </m:ctrlPr>
            </m:sSupPr>
            <m:e>
              <m:d>
                <m:dPr>
                  <m:begChr m:val="["/>
                  <m:endChr m:val="]"/>
                  <m:ctrlPr>
                    <w:rPr>
                      <w:rFonts w:ascii="Cambria Math" w:hAnsi="Cambria Math"/>
                      <w:i/>
                      <w:sz w:val="24"/>
                      <w:szCs w:val="24"/>
                    </w:rPr>
                  </m:ctrlPr>
                </m:dPr>
                <m:e>
                  <m:sSub>
                    <m:sSubPr>
                      <m:ctrlPr>
                        <w:rPr>
                          <w:rFonts w:ascii="Cambria Math" w:hAnsi="Cambria Math"/>
                          <w:sz w:val="24"/>
                          <w:szCs w:val="24"/>
                        </w:rPr>
                      </m:ctrlPr>
                    </m:sSubPr>
                    <m:e>
                      <m:r>
                        <w:rPr>
                          <w:rFonts w:ascii="Cambria Math" w:hAnsi="Cambria Math"/>
                          <w:sz w:val="24"/>
                          <w:szCs w:val="24"/>
                        </w:rPr>
                        <m:t>π</m:t>
                      </m:r>
                    </m:e>
                    <m:sub>
                      <m:r>
                        <w:rPr>
                          <w:rFonts w:ascii="Cambria Math" w:hAnsi="Cambria Math"/>
                          <w:sz w:val="24"/>
                          <w:szCs w:val="24"/>
                        </w:rPr>
                        <m:t>0</m:t>
                      </m:r>
                    </m:sub>
                  </m:sSub>
                  <m:r>
                    <m:rPr>
                      <m:sty m:val="p"/>
                    </m:rP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2</m:t>
                      </m:r>
                    </m:sup>
                    <m:e>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j</m:t>
                          </m:r>
                        </m:sub>
                      </m:sSub>
                    </m:e>
                  </m:nary>
                  <m:r>
                    <m:rPr>
                      <m:sty m:val="p"/>
                    </m:rPr>
                    <w:rPr>
                      <w:rFonts w:ascii="Cambria Math" w:hAnsi="Cambria Math"/>
                      <w:sz w:val="24"/>
                      <w:szCs w:val="24"/>
                    </w:rPr>
                    <m:t>Φ</m:t>
                  </m:r>
                  <m:d>
                    <m:dPr>
                      <m:ctrlPr>
                        <w:rPr>
                          <w:rFonts w:ascii="Cambria Math" w:hAnsi="Cambria Math"/>
                          <w:sz w:val="24"/>
                          <w:szCs w:val="24"/>
                        </w:rPr>
                      </m:ctrlPr>
                    </m:dPr>
                    <m:e>
                      <m:r>
                        <w:rPr>
                          <w:rFonts w:ascii="Cambria Math" w:hAnsi="Cambria Math"/>
                          <w:sz w:val="24"/>
                          <w:szCs w:val="24"/>
                        </w:rPr>
                        <m:t>-</m:t>
                      </m:r>
                      <m:f>
                        <m:fPr>
                          <m:ctrlPr>
                            <w:rPr>
                              <w:rFonts w:ascii="Cambria Math" w:hAnsi="Cambria Math"/>
                              <w:i/>
                              <w:sz w:val="24"/>
                              <w:szCs w:val="24"/>
                            </w:rPr>
                          </m:ctrlPr>
                        </m:fPr>
                        <m:num>
                          <m:sSubSup>
                            <m:sSubSupPr>
                              <m:ctrlPr>
                                <w:rPr>
                                  <w:rFonts w:ascii="Cambria Math" w:hAnsi="Cambria Math"/>
                                  <w:i/>
                                  <w:sz w:val="24"/>
                                  <w:szCs w:val="24"/>
                                </w:rPr>
                              </m:ctrlPr>
                            </m:sSubSupPr>
                            <m:e>
                              <m:r>
                                <m:rPr>
                                  <m:sty m:val="bi"/>
                                </m:rPr>
                                <w:rPr>
                                  <w:rFonts w:ascii="Cambria Math" w:hAnsi="Cambria Math"/>
                                  <w:sz w:val="24"/>
                                  <w:szCs w:val="24"/>
                                </w:rPr>
                                <m:t>x</m:t>
                              </m:r>
                            </m:e>
                            <m:sub>
                              <m:r>
                                <w:rPr>
                                  <w:rFonts w:ascii="Cambria Math" w:hAnsi="Cambria Math"/>
                                  <w:sz w:val="24"/>
                                  <w:szCs w:val="24"/>
                                </w:rPr>
                                <m:t>j</m:t>
                              </m:r>
                            </m:sub>
                            <m:sup>
                              <m:r>
                                <w:rPr>
                                  <w:rFonts w:ascii="Cambria Math" w:hAnsi="Cambria Math"/>
                                  <w:sz w:val="24"/>
                                  <w:szCs w:val="24"/>
                                </w:rPr>
                                <m:t>'</m:t>
                              </m:r>
                            </m:sup>
                          </m:sSubSup>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num>
                        <m:den>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j</m:t>
                              </m:r>
                            </m:sub>
                          </m:sSub>
                        </m:den>
                      </m:f>
                    </m:e>
                  </m:d>
                </m:e>
              </m:d>
            </m:e>
            <m:sup>
              <m:r>
                <w:rPr>
                  <w:rFonts w:ascii="Cambria Math" w:hAnsi="Cambria Math"/>
                  <w:sz w:val="24"/>
                  <w:szCs w:val="24"/>
                </w:rPr>
                <m:t>d</m:t>
              </m:r>
            </m:sup>
          </m:sSup>
          <m:r>
            <w:rPr>
              <w:rFonts w:ascii="Cambria Math" w:hAnsi="Cambria Math"/>
              <w:sz w:val="24"/>
              <w:szCs w:val="24"/>
            </w:rPr>
            <m:t xml:space="preserve"> ,        (1)</m:t>
          </m:r>
        </m:oMath>
      </m:oMathPara>
    </w:p>
    <w:p w:rsidR="002564CE" w:rsidRDefault="002564CE">
      <w:pPr>
        <w:rPr>
          <w:rFonts w:ascii="Times New Roman" w:hAnsi="Times New Roman"/>
          <w:sz w:val="24"/>
          <w:szCs w:val="24"/>
        </w:rPr>
      </w:pPr>
      <w:proofErr w:type="gramStart"/>
      <w:r>
        <w:rPr>
          <w:rFonts w:ascii="Times New Roman" w:hAnsi="Times New Roman"/>
          <w:sz w:val="24"/>
          <w:szCs w:val="24"/>
        </w:rPr>
        <w:t>w</w:t>
      </w:r>
      <w:r w:rsidRPr="001A1147">
        <w:rPr>
          <w:rFonts w:ascii="Times New Roman" w:hAnsi="Times New Roman"/>
          <w:sz w:val="24"/>
          <w:szCs w:val="24"/>
        </w:rPr>
        <w:t>here</w:t>
      </w:r>
      <w:proofErr w:type="gramEnd"/>
      <w:r>
        <w:rPr>
          <w:rFonts w:ascii="Times New Roman" w:hAnsi="Times New Roman"/>
          <w:sz w:val="24"/>
          <w:szCs w:val="24"/>
        </w:rPr>
        <w:t xml:space="preserve"> </w:t>
      </w:r>
      <m:oMath>
        <m:r>
          <w:rPr>
            <w:rFonts w:ascii="Cambria Math" w:hAnsi="Cambria Math"/>
            <w:sz w:val="24"/>
            <w:szCs w:val="24"/>
          </w:rPr>
          <m:t>∅(∙)</m:t>
        </m:r>
      </m:oMath>
      <w:r w:rsidRPr="001A1147">
        <w:rPr>
          <w:rFonts w:ascii="Times New Roman" w:hAnsi="Times New Roman"/>
          <w:sz w:val="24"/>
          <w:szCs w:val="24"/>
        </w:rPr>
        <w:t xml:space="preserve"> </w:t>
      </w:r>
      <w:r>
        <w:rPr>
          <w:rFonts w:ascii="Times New Roman" w:hAnsi="Times New Roman"/>
          <w:sz w:val="24"/>
          <w:szCs w:val="24"/>
        </w:rPr>
        <w:t>is the standard normal density,</w:t>
      </w:r>
      <m:oMath>
        <m:r>
          <m:rPr>
            <m:sty m:val="p"/>
          </m:rPr>
          <w:rPr>
            <w:rFonts w:ascii="Cambria Math" w:hAnsi="Cambria Math"/>
            <w:sz w:val="24"/>
            <w:szCs w:val="24"/>
          </w:rPr>
          <m:t>Φ</m:t>
        </m:r>
        <m:r>
          <w:rPr>
            <w:rFonts w:ascii="Cambria Math" w:hAnsi="Cambria Math"/>
            <w:sz w:val="24"/>
            <w:szCs w:val="24"/>
          </w:rPr>
          <m:t>(∙)</m:t>
        </m:r>
      </m:oMath>
      <w:r>
        <w:rPr>
          <w:rFonts w:ascii="Times New Roman" w:hAnsi="Times New Roman"/>
          <w:sz w:val="24"/>
          <w:szCs w:val="24"/>
        </w:rPr>
        <w:t xml:space="preserve"> </w:t>
      </w:r>
      <w:r w:rsidRPr="001A1147">
        <w:rPr>
          <w:rFonts w:ascii="Times New Roman" w:hAnsi="Times New Roman"/>
          <w:sz w:val="24"/>
          <w:szCs w:val="24"/>
        </w:rPr>
        <w:t xml:space="preserve">is </w:t>
      </w:r>
      <w:r>
        <w:rPr>
          <w:rFonts w:ascii="Times New Roman" w:hAnsi="Times New Roman"/>
          <w:sz w:val="24"/>
          <w:szCs w:val="24"/>
        </w:rPr>
        <w:t xml:space="preserve">the standard normal cumulative distribution function, </w:t>
      </w:r>
      <w:r w:rsidR="007307C9">
        <w:rPr>
          <w:rFonts w:ascii="Times New Roman" w:hAnsi="Times New Roman"/>
          <w:sz w:val="24"/>
          <w:szCs w:val="24"/>
        </w:rPr>
        <w:t xml:space="preserve">and </w:t>
      </w:r>
      <w:r w:rsidR="007307C9" w:rsidRPr="007307C9">
        <w:rPr>
          <w:rFonts w:ascii="Times New Roman" w:hAnsi="Times New Roman"/>
          <w:i/>
          <w:sz w:val="24"/>
          <w:szCs w:val="24"/>
        </w:rPr>
        <w:t>d</w:t>
      </w:r>
      <w:r w:rsidRPr="001A1147">
        <w:rPr>
          <w:rFonts w:ascii="Times New Roman" w:hAnsi="Times New Roman"/>
          <w:sz w:val="24"/>
          <w:szCs w:val="24"/>
        </w:rPr>
        <w:t xml:space="preserve"> is an indicator variable equal to one if </w:t>
      </w:r>
      <m:oMath>
        <m:r>
          <w:rPr>
            <w:rFonts w:ascii="Cambria Math" w:hAnsi="Cambria Math"/>
            <w:sz w:val="24"/>
            <w:szCs w:val="24"/>
          </w:rPr>
          <m:t>y=0</m:t>
        </m:r>
      </m:oMath>
      <w:r>
        <w:rPr>
          <w:rFonts w:ascii="Times New Roman" w:hAnsi="Times New Roman"/>
          <w:sz w:val="24"/>
          <w:szCs w:val="24"/>
        </w:rPr>
        <w:t xml:space="preserve"> and zero otherwise. In some models the mixture probabilities are allowed to be a function of covariates </w:t>
      </w:r>
      <w:r w:rsidRPr="00651354">
        <w:rPr>
          <w:rFonts w:ascii="Times New Roman" w:hAnsi="Times New Roman"/>
          <w:b/>
          <w:i/>
          <w:sz w:val="24"/>
          <w:szCs w:val="24"/>
        </w:rPr>
        <w:t>z</w:t>
      </w:r>
      <w:r>
        <w:rPr>
          <w:rFonts w:ascii="Times New Roman" w:hAnsi="Times New Roman"/>
          <w:sz w:val="24"/>
          <w:szCs w:val="24"/>
        </w:rPr>
        <w:t xml:space="preserve">, which may be different from the covariates </w:t>
      </w:r>
      <w:r w:rsidRPr="00651354">
        <w:rPr>
          <w:rFonts w:ascii="Times New Roman" w:hAnsi="Times New Roman"/>
          <w:b/>
          <w:i/>
          <w:sz w:val="24"/>
          <w:szCs w:val="24"/>
        </w:rPr>
        <w:t>x</w:t>
      </w:r>
      <w:r>
        <w:rPr>
          <w:rFonts w:ascii="Times New Roman" w:hAnsi="Times New Roman"/>
          <w:sz w:val="24"/>
          <w:szCs w:val="24"/>
        </w:rPr>
        <w:t xml:space="preserve"> used to model the means corresponding to the </w:t>
      </w:r>
      <w:r w:rsidR="00975365">
        <w:rPr>
          <w:rFonts w:ascii="Times New Roman" w:hAnsi="Times New Roman"/>
          <w:sz w:val="24"/>
          <w:szCs w:val="24"/>
        </w:rPr>
        <w:t xml:space="preserve">Tobit </w:t>
      </w:r>
      <w:r>
        <w:rPr>
          <w:rFonts w:ascii="Times New Roman" w:hAnsi="Times New Roman"/>
          <w:sz w:val="24"/>
          <w:szCs w:val="24"/>
        </w:rPr>
        <w:t xml:space="preserve">components. The mixture probabilities are modelled by  </w:t>
      </w:r>
    </w:p>
    <w:p w:rsidR="002564CE" w:rsidRDefault="00404C28">
      <w:pP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j</m:t>
              </m:r>
            </m:sub>
          </m:sSub>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exp⁡</m:t>
              </m:r>
              <m:r>
                <w:rPr>
                  <w:rFonts w:ascii="Cambria Math" w:hAnsi="Cambria Math"/>
                  <w:sz w:val="24"/>
                  <w:szCs w:val="24"/>
                </w:rPr>
                <m:t>(</m:t>
              </m:r>
              <m:sSup>
                <m:sSupPr>
                  <m:ctrlPr>
                    <w:rPr>
                      <w:rFonts w:ascii="Cambria Math" w:hAnsi="Cambria Math"/>
                      <w:i/>
                      <w:sz w:val="24"/>
                      <w:szCs w:val="24"/>
                    </w:rPr>
                  </m:ctrlPr>
                </m:sSupPr>
                <m:e>
                  <m:r>
                    <m:rPr>
                      <m:sty m:val="bi"/>
                    </m:rPr>
                    <w:rPr>
                      <w:rFonts w:ascii="Cambria Math" w:hAnsi="Cambria Math"/>
                      <w:sz w:val="24"/>
                      <w:szCs w:val="24"/>
                    </w:rPr>
                    <m:t>z</m:t>
                  </m:r>
                </m:e>
                <m:sup>
                  <m:r>
                    <w:rPr>
                      <w:rFonts w:ascii="Cambria Math" w:hAnsi="Cambria Math"/>
                      <w:sz w:val="24"/>
                      <w:szCs w:val="24"/>
                    </w:rPr>
                    <m:t>'</m:t>
                  </m:r>
                </m:sup>
              </m:sSup>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m:t>
                  </m:r>
                </m:sub>
              </m:sSub>
              <m:r>
                <w:rPr>
                  <w:rFonts w:ascii="Cambria Math" w:hAnsi="Cambria Math"/>
                  <w:sz w:val="24"/>
                  <w:szCs w:val="24"/>
                </w:rPr>
                <m:t>)</m:t>
              </m:r>
            </m:num>
            <m:den>
              <m:r>
                <w:rPr>
                  <w:rFonts w:ascii="Cambria Math" w:hAnsi="Cambria Math"/>
                  <w:sz w:val="24"/>
                  <w:szCs w:val="24"/>
                </w:rPr>
                <m:t>1+</m:t>
              </m:r>
              <m:func>
                <m:funcPr>
                  <m:ctrlPr>
                    <w:rPr>
                      <w:rFonts w:ascii="Cambria Math" w:hAnsi="Cambria Math"/>
                      <w:i/>
                      <w:sz w:val="24"/>
                      <w:szCs w:val="24"/>
                    </w:rPr>
                  </m:ctrlPr>
                </m:funcPr>
                <m:fName>
                  <m:r>
                    <m:rPr>
                      <m:sty m:val="p"/>
                    </m:rPr>
                    <w:rPr>
                      <w:rFonts w:ascii="Cambria Math" w:hAnsi="Cambria Math"/>
                      <w:sz w:val="24"/>
                      <w:szCs w:val="24"/>
                    </w:rPr>
                    <m:t>exp</m:t>
                  </m:r>
                </m:fName>
                <m:e>
                  <m:d>
                    <m:dPr>
                      <m:ctrlPr>
                        <w:rPr>
                          <w:rFonts w:ascii="Cambria Math" w:hAnsi="Cambria Math"/>
                          <w:i/>
                          <w:sz w:val="24"/>
                          <w:szCs w:val="24"/>
                        </w:rPr>
                      </m:ctrlPr>
                    </m:dPr>
                    <m:e>
                      <m:sSup>
                        <m:sSupPr>
                          <m:ctrlPr>
                            <w:rPr>
                              <w:rFonts w:ascii="Cambria Math" w:hAnsi="Cambria Math"/>
                              <w:i/>
                              <w:sz w:val="24"/>
                              <w:szCs w:val="24"/>
                            </w:rPr>
                          </m:ctrlPr>
                        </m:sSupPr>
                        <m:e>
                          <m:r>
                            <m:rPr>
                              <m:sty m:val="bi"/>
                            </m:rPr>
                            <w:rPr>
                              <w:rFonts w:ascii="Cambria Math" w:hAnsi="Cambria Math"/>
                              <w:sz w:val="24"/>
                              <w:szCs w:val="24"/>
                            </w:rPr>
                            <m:t>z</m:t>
                          </m:r>
                        </m:e>
                        <m:sup>
                          <m:r>
                            <w:rPr>
                              <w:rFonts w:ascii="Cambria Math" w:hAnsi="Cambria Math"/>
                              <w:sz w:val="24"/>
                              <w:szCs w:val="24"/>
                            </w:rPr>
                            <m:t>'</m:t>
                          </m:r>
                        </m:sup>
                      </m:sSup>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e>
                  </m:d>
                </m:e>
              </m:func>
              <m:r>
                <w:rPr>
                  <w:rFonts w:ascii="Cambria Math" w:hAnsi="Cambria Math"/>
                  <w:sz w:val="24"/>
                  <w:szCs w:val="24"/>
                </w:rPr>
                <m:t xml:space="preserve">+ </m:t>
              </m:r>
              <m:r>
                <m:rPr>
                  <m:sty m:val="p"/>
                </m:rPr>
                <w:rPr>
                  <w:rFonts w:ascii="Cambria Math" w:hAnsi="Cambria Math"/>
                  <w:sz w:val="24"/>
                  <w:szCs w:val="24"/>
                </w:rPr>
                <m:t>exp⁡</m:t>
              </m:r>
              <m:r>
                <w:rPr>
                  <w:rFonts w:ascii="Cambria Math" w:hAnsi="Cambria Math"/>
                  <w:sz w:val="24"/>
                  <w:szCs w:val="24"/>
                </w:rPr>
                <m:t>(</m:t>
              </m:r>
              <m:sSup>
                <m:sSupPr>
                  <m:ctrlPr>
                    <w:rPr>
                      <w:rFonts w:ascii="Cambria Math" w:hAnsi="Cambria Math"/>
                      <w:i/>
                      <w:sz w:val="24"/>
                      <w:szCs w:val="24"/>
                    </w:rPr>
                  </m:ctrlPr>
                </m:sSupPr>
                <m:e>
                  <m:r>
                    <m:rPr>
                      <m:sty m:val="bi"/>
                    </m:rPr>
                    <w:rPr>
                      <w:rFonts w:ascii="Cambria Math" w:hAnsi="Cambria Math"/>
                      <w:sz w:val="24"/>
                      <w:szCs w:val="24"/>
                    </w:rPr>
                    <m:t>z</m:t>
                  </m:r>
                </m:e>
                <m:sup>
                  <m:r>
                    <w:rPr>
                      <w:rFonts w:ascii="Cambria Math" w:hAnsi="Cambria Math"/>
                      <w:sz w:val="24"/>
                      <w:szCs w:val="24"/>
                    </w:rPr>
                    <m:t>'</m:t>
                  </m:r>
                </m:sup>
              </m:sSup>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2</m:t>
                  </m:r>
                </m:sub>
              </m:sSub>
              <m:r>
                <w:rPr>
                  <w:rFonts w:ascii="Cambria Math" w:hAnsi="Cambria Math"/>
                  <w:sz w:val="24"/>
                  <w:szCs w:val="24"/>
                </w:rPr>
                <m:t>)</m:t>
              </m:r>
            </m:den>
          </m:f>
          <m:r>
            <w:rPr>
              <w:rFonts w:ascii="Cambria Math" w:hAnsi="Cambria Math"/>
              <w:sz w:val="24"/>
              <w:szCs w:val="24"/>
            </w:rPr>
            <m:t xml:space="preserve">   ,     (2)</m:t>
          </m:r>
        </m:oMath>
      </m:oMathPara>
    </w:p>
    <w:p w:rsidR="002564CE" w:rsidRDefault="002564CE" w:rsidP="00AB14E7">
      <w:pPr>
        <w:rPr>
          <w:rFonts w:ascii="Times New Roman" w:eastAsiaTheme="minorEastAsia" w:hAnsi="Times New Roman"/>
          <w:sz w:val="24"/>
          <w:szCs w:val="24"/>
        </w:rPr>
      </w:pPr>
      <w:proofErr w:type="gramStart"/>
      <w:r>
        <w:rPr>
          <w:rFonts w:ascii="Times New Roman" w:hAnsi="Times New Roman"/>
          <w:sz w:val="24"/>
          <w:szCs w:val="24"/>
        </w:rPr>
        <w:t xml:space="preserve">where </w:t>
      </w:r>
      <w:proofErr w:type="gramEnd"/>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=0</m:t>
        </m:r>
      </m:oMath>
      <w:r>
        <w:rPr>
          <w:rFonts w:ascii="Times New Roman" w:eastAsiaTheme="minorEastAsia" w:hAnsi="Times New Roman"/>
          <w:sz w:val="24"/>
          <w:szCs w:val="24"/>
        </w:rPr>
        <w:t xml:space="preserve">.  To apply (1) and (2) to the EQ-5D preference index, we define </w:t>
      </w:r>
      <w:r w:rsidRPr="00BB358B">
        <w:rPr>
          <w:rFonts w:ascii="Times New Roman" w:eastAsiaTheme="minorEastAsia" w:hAnsi="Times New Roman"/>
          <w:i/>
          <w:sz w:val="24"/>
          <w:szCs w:val="24"/>
        </w:rPr>
        <w:t>y</w:t>
      </w:r>
      <w:r>
        <w:rPr>
          <w:rFonts w:ascii="Times New Roman" w:eastAsiaTheme="minorEastAsia" w:hAnsi="Times New Roman"/>
          <w:sz w:val="24"/>
          <w:szCs w:val="24"/>
        </w:rPr>
        <w:t xml:space="preserve"> = 1- EQ-5D.</w:t>
      </w:r>
    </w:p>
    <w:p w:rsidR="002564CE" w:rsidRPr="00BB358B" w:rsidRDefault="002564CE" w:rsidP="00E22C3C">
      <w:pPr>
        <w:ind w:firstLine="720"/>
        <w:rPr>
          <w:rFonts w:ascii="Times New Roman" w:eastAsiaTheme="minorEastAsia" w:hAnsi="Times New Roman"/>
          <w:sz w:val="24"/>
          <w:szCs w:val="24"/>
        </w:rPr>
      </w:pPr>
      <w:r>
        <w:rPr>
          <w:rFonts w:ascii="Times New Roman" w:eastAsiaTheme="minorEastAsia" w:hAnsi="Times New Roman"/>
          <w:sz w:val="24"/>
          <w:szCs w:val="24"/>
        </w:rPr>
        <w:t xml:space="preserve"> We wrote a Stata command called ZICEN (zero-inflated censored </w:t>
      </w:r>
      <w:proofErr w:type="spellStart"/>
      <w:r>
        <w:rPr>
          <w:rFonts w:ascii="Times New Roman" w:eastAsiaTheme="minorEastAsia" w:hAnsi="Times New Roman"/>
          <w:sz w:val="24"/>
          <w:szCs w:val="24"/>
        </w:rPr>
        <w:t>normal</w:t>
      </w:r>
      <w:r w:rsidR="00FA43D2">
        <w:rPr>
          <w:rFonts w:ascii="Times New Roman" w:eastAsiaTheme="minorEastAsia" w:hAnsi="Times New Roman"/>
          <w:sz w:val="24"/>
          <w:szCs w:val="24"/>
        </w:rPr>
        <w:t>s</w:t>
      </w:r>
      <w:proofErr w:type="spellEnd"/>
      <w:r>
        <w:rPr>
          <w:rFonts w:ascii="Times New Roman" w:eastAsiaTheme="minorEastAsia" w:hAnsi="Times New Roman"/>
          <w:sz w:val="24"/>
          <w:szCs w:val="24"/>
        </w:rPr>
        <w:t xml:space="preserve">) to maximize the likelihood function. ZICEN estimates models with- and without covariates in the mixture probabilities, assuming either one or two Tobit components. To install the command, enter </w:t>
      </w:r>
      <w:proofErr w:type="spellStart"/>
      <w:r w:rsidRPr="00BB358B">
        <w:rPr>
          <w:rFonts w:ascii="Courier New" w:eastAsiaTheme="minorEastAsia" w:hAnsi="Courier New" w:cs="Courier New"/>
        </w:rPr>
        <w:t>ssc</w:t>
      </w:r>
      <w:proofErr w:type="spellEnd"/>
      <w:r w:rsidRPr="00BB358B">
        <w:rPr>
          <w:rFonts w:ascii="Courier New" w:eastAsiaTheme="minorEastAsia" w:hAnsi="Courier New" w:cs="Courier New"/>
        </w:rPr>
        <w:t xml:space="preserve"> install </w:t>
      </w:r>
      <w:proofErr w:type="spellStart"/>
      <w:r w:rsidRPr="00BB358B">
        <w:rPr>
          <w:rFonts w:ascii="Courier New" w:eastAsiaTheme="minorEastAsia" w:hAnsi="Courier New" w:cs="Courier New"/>
        </w:rPr>
        <w:t>zicen</w:t>
      </w:r>
      <w:proofErr w:type="spellEnd"/>
      <w:r>
        <w:rPr>
          <w:rFonts w:ascii="Times New Roman" w:eastAsiaTheme="minorEastAsia" w:hAnsi="Times New Roman"/>
          <w:sz w:val="24"/>
          <w:szCs w:val="24"/>
        </w:rPr>
        <w:t xml:space="preserve"> in Stata’s command prompt (an Internet connection is required). For details on the syntax, </w:t>
      </w:r>
      <w:proofErr w:type="gramStart"/>
      <w:r>
        <w:rPr>
          <w:rFonts w:ascii="Times New Roman" w:eastAsiaTheme="minorEastAsia" w:hAnsi="Times New Roman"/>
          <w:sz w:val="24"/>
          <w:szCs w:val="24"/>
        </w:rPr>
        <w:t xml:space="preserve">type </w:t>
      </w:r>
      <w:r w:rsidRPr="00BB358B">
        <w:rPr>
          <w:rFonts w:ascii="Courier New" w:eastAsiaTheme="minorEastAsia" w:hAnsi="Courier New" w:cs="Courier New"/>
        </w:rPr>
        <w:t>help</w:t>
      </w:r>
      <w:proofErr w:type="gramEnd"/>
      <w:r w:rsidRPr="00BB358B">
        <w:rPr>
          <w:rFonts w:ascii="Courier New" w:eastAsiaTheme="minorEastAsia" w:hAnsi="Courier New" w:cs="Courier New"/>
        </w:rPr>
        <w:t xml:space="preserve"> </w:t>
      </w:r>
      <w:proofErr w:type="spellStart"/>
      <w:r w:rsidRPr="00BB358B">
        <w:rPr>
          <w:rFonts w:ascii="Courier New" w:eastAsiaTheme="minorEastAsia" w:hAnsi="Courier New" w:cs="Courier New"/>
        </w:rPr>
        <w:t>zicen</w:t>
      </w:r>
      <w:proofErr w:type="spellEnd"/>
      <w:r>
        <w:rPr>
          <w:rFonts w:ascii="Times New Roman" w:eastAsiaTheme="minorEastAsia" w:hAnsi="Times New Roman"/>
          <w:sz w:val="24"/>
          <w:szCs w:val="24"/>
        </w:rPr>
        <w:t xml:space="preserve">.  It is possible to use different maximization methods, which can be specified with the option </w:t>
      </w:r>
      <w:r>
        <w:rPr>
          <w:rFonts w:ascii="Courier New" w:eastAsiaTheme="minorEastAsia" w:hAnsi="Courier New" w:cs="Courier New"/>
        </w:rPr>
        <w:t>technique</w:t>
      </w:r>
      <w:r>
        <w:rPr>
          <w:rFonts w:ascii="Times New Roman" w:eastAsiaTheme="minorEastAsia" w:hAnsi="Times New Roman"/>
          <w:sz w:val="24"/>
          <w:szCs w:val="24"/>
        </w:rPr>
        <w:t xml:space="preserve"> (the default is the Newton-Raphson algorithm). We recommend the use of the option </w:t>
      </w:r>
      <w:r w:rsidRPr="00E22C3C">
        <w:rPr>
          <w:rFonts w:ascii="Courier New" w:eastAsiaTheme="minorEastAsia" w:hAnsi="Courier New" w:cs="Courier New"/>
        </w:rPr>
        <w:t>difficult</w:t>
      </w:r>
      <w:r>
        <w:rPr>
          <w:rFonts w:ascii="Times New Roman" w:eastAsiaTheme="minorEastAsia" w:hAnsi="Times New Roman"/>
          <w:sz w:val="24"/>
          <w:szCs w:val="24"/>
        </w:rPr>
        <w:t xml:space="preserve">. The </w:t>
      </w:r>
      <w:r w:rsidRPr="00E22C3C">
        <w:rPr>
          <w:rFonts w:ascii="Courier New" w:eastAsiaTheme="minorEastAsia" w:hAnsi="Courier New" w:cs="Courier New"/>
        </w:rPr>
        <w:t>difficult</w:t>
      </w:r>
      <w:r>
        <w:rPr>
          <w:rFonts w:ascii="Times New Roman" w:eastAsiaTheme="minorEastAsia" w:hAnsi="Times New Roman"/>
          <w:sz w:val="24"/>
          <w:szCs w:val="24"/>
        </w:rPr>
        <w:t xml:space="preserve"> option varies how a direction is found when the negative Hessian cannot be inverted. Stata flags such instances with a message indicating that the likelihood is “not concave.” </w:t>
      </w:r>
      <w:r w:rsidR="008C10D1">
        <w:rPr>
          <w:rFonts w:ascii="Times New Roman" w:hAnsi="Times New Roman"/>
          <w:noProof/>
          <w:sz w:val="24"/>
          <w:szCs w:val="24"/>
        </w:rPr>
        <w:t>(36</w:t>
      </w:r>
      <w:r w:rsidR="00975365">
        <w:rPr>
          <w:rFonts w:ascii="Times New Roman" w:hAnsi="Times New Roman"/>
          <w:noProof/>
          <w:sz w:val="24"/>
          <w:szCs w:val="24"/>
        </w:rPr>
        <w:t>)</w:t>
      </w:r>
      <w:r>
        <w:rPr>
          <w:rFonts w:ascii="Times New Roman" w:eastAsiaTheme="minorEastAsia" w:hAnsi="Times New Roman"/>
          <w:sz w:val="24"/>
          <w:szCs w:val="24"/>
        </w:rPr>
        <w:t xml:space="preserve">    </w:t>
      </w:r>
    </w:p>
    <w:p w:rsidR="002564CE" w:rsidRPr="001F69D9" w:rsidRDefault="002564CE">
      <w:pPr>
        <w:rPr>
          <w:rFonts w:ascii="Times New Roman" w:hAnsi="Times New Roman"/>
          <w:i/>
          <w:sz w:val="24"/>
          <w:szCs w:val="24"/>
        </w:rPr>
      </w:pPr>
      <w:r w:rsidRPr="001F69D9">
        <w:rPr>
          <w:rFonts w:ascii="Times New Roman" w:eastAsiaTheme="minorEastAsia" w:hAnsi="Times New Roman"/>
          <w:i/>
          <w:sz w:val="24"/>
          <w:szCs w:val="24"/>
        </w:rPr>
        <w:t xml:space="preserve">Starting values </w:t>
      </w:r>
      <w:r w:rsidRPr="001F69D9">
        <w:rPr>
          <w:rFonts w:ascii="Times New Roman" w:hAnsi="Times New Roman"/>
          <w:i/>
          <w:sz w:val="24"/>
          <w:szCs w:val="24"/>
        </w:rPr>
        <w:t xml:space="preserve"> </w:t>
      </w:r>
    </w:p>
    <w:p w:rsidR="002564CE" w:rsidRDefault="002564CE">
      <w:pPr>
        <w:rPr>
          <w:rFonts w:ascii="Times New Roman" w:hAnsi="Times New Roman"/>
          <w:sz w:val="24"/>
          <w:szCs w:val="24"/>
        </w:rPr>
      </w:pPr>
      <w:r>
        <w:rPr>
          <w:rFonts w:ascii="Times New Roman" w:hAnsi="Times New Roman"/>
          <w:sz w:val="24"/>
          <w:szCs w:val="24"/>
        </w:rPr>
        <w:t xml:space="preserve">In many cases the </w:t>
      </w:r>
      <w:r w:rsidRPr="001A1147">
        <w:rPr>
          <w:rFonts w:ascii="Times New Roman" w:hAnsi="Times New Roman"/>
          <w:sz w:val="24"/>
          <w:szCs w:val="24"/>
        </w:rPr>
        <w:t xml:space="preserve">likelihood function of a mixture model is difficult to </w:t>
      </w:r>
      <w:r>
        <w:rPr>
          <w:rFonts w:ascii="Times New Roman" w:hAnsi="Times New Roman"/>
          <w:sz w:val="24"/>
          <w:szCs w:val="24"/>
        </w:rPr>
        <w:t xml:space="preserve">maximize because of the possibility </w:t>
      </w:r>
      <w:r w:rsidRPr="001A1147">
        <w:rPr>
          <w:rFonts w:ascii="Times New Roman" w:hAnsi="Times New Roman"/>
          <w:sz w:val="24"/>
          <w:szCs w:val="24"/>
        </w:rPr>
        <w:t>of multiple local maxima and non-concave regions</w:t>
      </w:r>
      <w:r>
        <w:rPr>
          <w:rFonts w:ascii="Times New Roman" w:hAnsi="Times New Roman"/>
          <w:sz w:val="24"/>
          <w:szCs w:val="24"/>
        </w:rPr>
        <w:t xml:space="preserve">. To ameliorate this problem, we developed an algorithm for choosing starting values. We tested our algorithm with </w:t>
      </w:r>
      <w:r w:rsidR="00975365">
        <w:rPr>
          <w:rFonts w:ascii="Times New Roman" w:hAnsi="Times New Roman"/>
          <w:sz w:val="24"/>
          <w:szCs w:val="24"/>
        </w:rPr>
        <w:t xml:space="preserve">extensive </w:t>
      </w:r>
      <w:r>
        <w:rPr>
          <w:rFonts w:ascii="Times New Roman" w:hAnsi="Times New Roman"/>
          <w:sz w:val="24"/>
          <w:szCs w:val="24"/>
        </w:rPr>
        <w:t>simulations</w:t>
      </w:r>
      <w:r w:rsidR="00975365">
        <w:rPr>
          <w:rFonts w:ascii="Times New Roman" w:hAnsi="Times New Roman"/>
          <w:sz w:val="24"/>
          <w:szCs w:val="24"/>
        </w:rPr>
        <w:t>. Th</w:t>
      </w:r>
      <w:r>
        <w:rPr>
          <w:rFonts w:ascii="Times New Roman" w:hAnsi="Times New Roman"/>
          <w:sz w:val="24"/>
          <w:szCs w:val="24"/>
        </w:rPr>
        <w:t xml:space="preserve">is strategy proved to be effective in that estimated parameters converged to their true values.  </w:t>
      </w:r>
    </w:p>
    <w:p w:rsidR="002564CE" w:rsidRDefault="002564CE">
      <w:pPr>
        <w:rPr>
          <w:rFonts w:ascii="Times New Roman" w:hAnsi="Times New Roman"/>
          <w:sz w:val="24"/>
          <w:szCs w:val="24"/>
        </w:rPr>
      </w:pPr>
      <w:r>
        <w:rPr>
          <w:rFonts w:ascii="Times New Roman" w:hAnsi="Times New Roman"/>
          <w:sz w:val="24"/>
          <w:szCs w:val="24"/>
        </w:rPr>
        <w:t xml:space="preserve">1) </w:t>
      </w:r>
      <w:r w:rsidRPr="009849FC">
        <w:rPr>
          <w:rFonts w:ascii="Times New Roman" w:hAnsi="Times New Roman"/>
          <w:b/>
          <w:sz w:val="24"/>
          <w:szCs w:val="24"/>
        </w:rPr>
        <w:t>Null model</w:t>
      </w:r>
      <w:r>
        <w:rPr>
          <w:rFonts w:ascii="Times New Roman" w:hAnsi="Times New Roman"/>
          <w:sz w:val="24"/>
          <w:szCs w:val="24"/>
        </w:rPr>
        <w:t xml:space="preserve">: Starting values for the null model (a model without covariates </w:t>
      </w:r>
      <w:r w:rsidRPr="00AB14E7">
        <w:rPr>
          <w:rFonts w:ascii="Times New Roman" w:hAnsi="Times New Roman"/>
          <w:b/>
          <w:i/>
          <w:sz w:val="24"/>
          <w:szCs w:val="24"/>
        </w:rPr>
        <w:t>x</w:t>
      </w:r>
      <w:r>
        <w:rPr>
          <w:rFonts w:ascii="Times New Roman" w:hAnsi="Times New Roman"/>
          <w:sz w:val="24"/>
          <w:szCs w:val="24"/>
        </w:rPr>
        <w:t xml:space="preserve"> or </w:t>
      </w:r>
      <w:r w:rsidRPr="00AB14E7">
        <w:rPr>
          <w:rFonts w:ascii="Times New Roman" w:hAnsi="Times New Roman"/>
          <w:b/>
          <w:i/>
          <w:sz w:val="24"/>
          <w:szCs w:val="24"/>
        </w:rPr>
        <w:t>z</w:t>
      </w:r>
      <w:r>
        <w:rPr>
          <w:rFonts w:ascii="Times New Roman" w:hAnsi="Times New Roman"/>
          <w:sz w:val="24"/>
          <w:szCs w:val="24"/>
        </w:rPr>
        <w:t>) are based on the distribution of the observed outcome variable</w:t>
      </w:r>
      <w:r w:rsidR="00975365">
        <w:rPr>
          <w:rFonts w:ascii="Times New Roman" w:hAnsi="Times New Roman"/>
          <w:sz w:val="24"/>
          <w:szCs w:val="24"/>
        </w:rPr>
        <w:t xml:space="preserve"> </w:t>
      </w:r>
      <w:r w:rsidR="00975365" w:rsidRPr="00975365">
        <w:rPr>
          <w:rFonts w:ascii="Times New Roman" w:hAnsi="Times New Roman"/>
          <w:i/>
          <w:sz w:val="24"/>
          <w:szCs w:val="24"/>
        </w:rPr>
        <w:t>y</w:t>
      </w:r>
      <w:r>
        <w:rPr>
          <w:rFonts w:ascii="Times New Roman" w:hAnsi="Times New Roman"/>
          <w:sz w:val="24"/>
          <w:szCs w:val="24"/>
        </w:rPr>
        <w:t xml:space="preserve">. A null model with one degenerate component and two Tobit components requires six starting values: two mixture probabilities, two standard deviations, and two means for the Tobit components. Let </w:t>
      </w:r>
      <w:r w:rsidRPr="00B0566C">
        <w:rPr>
          <w:rFonts w:ascii="Times New Roman" w:hAnsi="Times New Roman"/>
          <w:i/>
          <w:sz w:val="24"/>
          <w:szCs w:val="24"/>
        </w:rPr>
        <w:t>p</w:t>
      </w:r>
      <w:r w:rsidRPr="00B0566C">
        <w:rPr>
          <w:rFonts w:ascii="Times New Roman" w:hAnsi="Times New Roman"/>
          <w:i/>
          <w:sz w:val="24"/>
          <w:szCs w:val="24"/>
          <w:vertAlign w:val="subscript"/>
        </w:rPr>
        <w:t>0</w:t>
      </w:r>
      <w:r>
        <w:rPr>
          <w:rFonts w:ascii="Times New Roman" w:hAnsi="Times New Roman"/>
          <w:sz w:val="24"/>
          <w:szCs w:val="24"/>
        </w:rPr>
        <w:t xml:space="preserve"> be the proportion of </w:t>
      </w:r>
      <w:r>
        <w:rPr>
          <w:rFonts w:ascii="Times New Roman" w:hAnsi="Times New Roman"/>
          <w:sz w:val="24"/>
          <w:szCs w:val="24"/>
        </w:rPr>
        <w:lastRenderedPageBreak/>
        <w:t xml:space="preserve">observed values where </w:t>
      </w:r>
      <w:r w:rsidRPr="00B0566C">
        <w:rPr>
          <w:rFonts w:ascii="Times New Roman" w:hAnsi="Times New Roman"/>
          <w:i/>
          <w:sz w:val="24"/>
          <w:szCs w:val="24"/>
        </w:rPr>
        <w:t>y</w:t>
      </w:r>
      <w:r>
        <w:rPr>
          <w:rFonts w:ascii="Times New Roman" w:hAnsi="Times New Roman"/>
          <w:sz w:val="24"/>
          <w:szCs w:val="24"/>
        </w:rPr>
        <w:t xml:space="preserve"> = 0.  The starting values for the two mixture probabilities corresponding to the two Tobit components are given by </w:t>
      </w:r>
    </w:p>
    <w:p w:rsidR="002564CE" w:rsidRDefault="00404C28" w:rsidP="00B0566C">
      <w:pPr>
        <w:jc w:val="center"/>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π</m:t>
            </m:r>
          </m:e>
          <m:sub>
            <m:r>
              <w:rPr>
                <w:rFonts w:ascii="Cambria Math" w:hAnsi="Cambria Math"/>
                <w:sz w:val="24"/>
                <w:szCs w:val="24"/>
              </w:rPr>
              <m:t>1</m:t>
            </m:r>
          </m:sub>
          <m:sup>
            <m:r>
              <w:rPr>
                <w:rFonts w:ascii="Cambria Math" w:hAnsi="Cambria Math"/>
                <w:sz w:val="24"/>
                <w:szCs w:val="24"/>
              </w:rPr>
              <m:t>s</m:t>
            </m:r>
          </m:sup>
        </m:sSubSup>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π</m:t>
            </m:r>
          </m:e>
          <m:sub>
            <m:r>
              <w:rPr>
                <w:rFonts w:ascii="Cambria Math" w:hAnsi="Cambria Math"/>
                <w:sz w:val="24"/>
                <w:szCs w:val="24"/>
              </w:rPr>
              <m:t>2</m:t>
            </m:r>
          </m:sub>
          <m:sup>
            <m:r>
              <w:rPr>
                <w:rFonts w:ascii="Cambria Math" w:hAnsi="Cambria Math"/>
                <w:sz w:val="24"/>
                <w:szCs w:val="24"/>
              </w:rPr>
              <m:t>s</m:t>
            </m:r>
          </m:sup>
        </m:sSubSup>
        <m:r>
          <w:rPr>
            <w:rFonts w:ascii="Cambria Math" w:hAnsi="Cambria Math"/>
            <w:sz w:val="24"/>
            <w:szCs w:val="24"/>
          </w:rPr>
          <m:t>=logit(</m:t>
        </m:r>
        <m:f>
          <m:fPr>
            <m:ctrlPr>
              <w:rPr>
                <w:rFonts w:ascii="Cambria Math" w:hAnsi="Cambria Math"/>
                <w:i/>
                <w:sz w:val="24"/>
                <w:szCs w:val="24"/>
              </w:rPr>
            </m:ctrlPr>
          </m:fPr>
          <m:num>
            <m:r>
              <w:rPr>
                <w:rFonts w:ascii="Cambria Math" w:hAnsi="Cambria Math"/>
                <w:sz w:val="24"/>
                <w:szCs w:val="24"/>
              </w:rPr>
              <m:t xml:space="preserve">1-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0</m:t>
                </m:r>
              </m:sub>
            </m:sSub>
          </m:num>
          <m:den>
            <m:r>
              <w:rPr>
                <w:rFonts w:ascii="Cambria Math" w:hAnsi="Cambria Math"/>
                <w:sz w:val="24"/>
                <w:szCs w:val="24"/>
              </w:rPr>
              <m:t>2</m:t>
            </m:r>
          </m:den>
        </m:f>
        <m:r>
          <w:rPr>
            <w:rFonts w:ascii="Cambria Math" w:hAnsi="Cambria Math"/>
            <w:sz w:val="24"/>
            <w:szCs w:val="24"/>
          </w:rPr>
          <m:t>)</m:t>
        </m:r>
      </m:oMath>
      <w:r w:rsidR="002564CE">
        <w:rPr>
          <w:rFonts w:ascii="Times New Roman" w:eastAsiaTheme="minorEastAsia" w:hAnsi="Times New Roman"/>
          <w:sz w:val="24"/>
          <w:szCs w:val="24"/>
        </w:rPr>
        <w:t>.</w:t>
      </w:r>
    </w:p>
    <w:p w:rsidR="002564CE" w:rsidRDefault="002564CE">
      <w:pPr>
        <w:rPr>
          <w:rFonts w:ascii="Times New Roman" w:hAnsi="Times New Roman"/>
          <w:sz w:val="24"/>
          <w:szCs w:val="24"/>
        </w:rPr>
      </w:pPr>
      <w:r>
        <w:rPr>
          <w:rFonts w:ascii="Times New Roman" w:hAnsi="Times New Roman"/>
          <w:sz w:val="24"/>
          <w:szCs w:val="24"/>
        </w:rPr>
        <w:t xml:space="preserve">That is, we assume that the Tobit components are mixed with equal probability. The logit transformation is necessary because ZICEN models the log odds (logit) rather than the probabilities. Next, we divide observations with y &gt; 0 in half using the median as the cutting point. For each half, the observed median and natural logarithm of the standard deviation are the starting values for the mean and standard deviation of each of the Tobit components, respectively. </w:t>
      </w:r>
    </w:p>
    <w:p w:rsidR="002564CE" w:rsidRDefault="002564CE">
      <w:pPr>
        <w:rPr>
          <w:rFonts w:ascii="Times New Roman" w:hAnsi="Times New Roman"/>
          <w:sz w:val="24"/>
          <w:szCs w:val="24"/>
        </w:rPr>
      </w:pPr>
      <w:r>
        <w:rPr>
          <w:rFonts w:ascii="Times New Roman" w:hAnsi="Times New Roman"/>
          <w:sz w:val="24"/>
          <w:szCs w:val="24"/>
        </w:rPr>
        <w:t xml:space="preserve">2) </w:t>
      </w:r>
      <w:r w:rsidRPr="00004C7E">
        <w:rPr>
          <w:rFonts w:ascii="Times New Roman" w:hAnsi="Times New Roman"/>
          <w:b/>
          <w:sz w:val="24"/>
          <w:szCs w:val="24"/>
        </w:rPr>
        <w:t>Model</w:t>
      </w:r>
      <w:r>
        <w:rPr>
          <w:rFonts w:ascii="Times New Roman" w:hAnsi="Times New Roman"/>
          <w:b/>
          <w:sz w:val="24"/>
          <w:szCs w:val="24"/>
        </w:rPr>
        <w:t>s</w:t>
      </w:r>
      <w:r w:rsidRPr="00004C7E">
        <w:rPr>
          <w:rFonts w:ascii="Times New Roman" w:hAnsi="Times New Roman"/>
          <w:b/>
          <w:sz w:val="24"/>
          <w:szCs w:val="24"/>
        </w:rPr>
        <w:t xml:space="preserve"> with no covariates in </w:t>
      </w:r>
      <w:r>
        <w:rPr>
          <w:rFonts w:ascii="Times New Roman" w:hAnsi="Times New Roman"/>
          <w:b/>
          <w:sz w:val="24"/>
          <w:szCs w:val="24"/>
        </w:rPr>
        <w:t xml:space="preserve">the </w:t>
      </w:r>
      <w:r w:rsidRPr="00004C7E">
        <w:rPr>
          <w:rFonts w:ascii="Times New Roman" w:hAnsi="Times New Roman"/>
          <w:b/>
          <w:sz w:val="24"/>
          <w:szCs w:val="24"/>
        </w:rPr>
        <w:t>mixture probabilities</w:t>
      </w:r>
      <w:r>
        <w:rPr>
          <w:rFonts w:ascii="Times New Roman" w:hAnsi="Times New Roman"/>
          <w:sz w:val="24"/>
          <w:szCs w:val="24"/>
        </w:rPr>
        <w:t xml:space="preserve">. ZICEN first estimates a null model as in 1) and uses the estimated parameters of the null model as starting values for models with covariates </w:t>
      </w:r>
      <w:r w:rsidRPr="00004C7E">
        <w:rPr>
          <w:rFonts w:ascii="Times New Roman" w:hAnsi="Times New Roman"/>
          <w:b/>
          <w:i/>
          <w:sz w:val="24"/>
          <w:szCs w:val="24"/>
        </w:rPr>
        <w:t>x</w:t>
      </w:r>
      <w:r>
        <w:rPr>
          <w:rFonts w:ascii="Times New Roman" w:hAnsi="Times New Roman"/>
          <w:sz w:val="24"/>
          <w:szCs w:val="24"/>
        </w:rPr>
        <w:t xml:space="preserve">. This is similar to the strategy followed by most of Stata’s estimation commands. The likelihood ratio test comparing the null and current model is reported. </w:t>
      </w:r>
    </w:p>
    <w:p w:rsidR="002564CE" w:rsidRDefault="002564CE">
      <w:pPr>
        <w:rPr>
          <w:rFonts w:ascii="Times New Roman" w:hAnsi="Times New Roman"/>
          <w:sz w:val="24"/>
          <w:szCs w:val="24"/>
        </w:rPr>
      </w:pPr>
      <w:r>
        <w:rPr>
          <w:rFonts w:ascii="Times New Roman" w:hAnsi="Times New Roman"/>
          <w:sz w:val="24"/>
          <w:szCs w:val="24"/>
        </w:rPr>
        <w:t xml:space="preserve">3) </w:t>
      </w:r>
      <w:r w:rsidRPr="008B2114">
        <w:rPr>
          <w:rFonts w:ascii="Times New Roman" w:hAnsi="Times New Roman"/>
          <w:b/>
          <w:sz w:val="24"/>
          <w:szCs w:val="24"/>
        </w:rPr>
        <w:t>Models with covariates in the mixture probabilities</w:t>
      </w:r>
      <w:r>
        <w:rPr>
          <w:rFonts w:ascii="Times New Roman" w:hAnsi="Times New Roman"/>
          <w:sz w:val="24"/>
          <w:szCs w:val="24"/>
        </w:rPr>
        <w:t xml:space="preserve">. For models with covariates </w:t>
      </w:r>
      <w:r w:rsidRPr="008B2114">
        <w:rPr>
          <w:rFonts w:ascii="Times New Roman" w:hAnsi="Times New Roman"/>
          <w:b/>
          <w:i/>
          <w:sz w:val="24"/>
          <w:szCs w:val="24"/>
        </w:rPr>
        <w:t>z</w:t>
      </w:r>
      <w:r>
        <w:rPr>
          <w:rFonts w:ascii="Times New Roman" w:hAnsi="Times New Roman"/>
          <w:sz w:val="24"/>
          <w:szCs w:val="24"/>
        </w:rPr>
        <w:t xml:space="preserve"> in the mixture probabilities, ZICEN first estimates the null model as in 1) and then it estimates a model with only covariates </w:t>
      </w:r>
      <w:r w:rsidRPr="008B2114">
        <w:rPr>
          <w:rFonts w:ascii="Times New Roman" w:hAnsi="Times New Roman"/>
          <w:b/>
          <w:i/>
          <w:sz w:val="24"/>
          <w:szCs w:val="24"/>
        </w:rPr>
        <w:t>x</w:t>
      </w:r>
      <w:r>
        <w:rPr>
          <w:rFonts w:ascii="Times New Roman" w:hAnsi="Times New Roman"/>
          <w:sz w:val="24"/>
          <w:szCs w:val="24"/>
        </w:rPr>
        <w:t xml:space="preserve"> as in 2). The estimated parameters </w:t>
      </w:r>
      <w:r w:rsidR="00F2479C">
        <w:rPr>
          <w:rFonts w:ascii="Times New Roman" w:hAnsi="Times New Roman"/>
          <w:sz w:val="24"/>
          <w:szCs w:val="24"/>
        </w:rPr>
        <w:t xml:space="preserve">from step 2) </w:t>
      </w:r>
      <w:r>
        <w:rPr>
          <w:rFonts w:ascii="Times New Roman" w:hAnsi="Times New Roman"/>
          <w:sz w:val="24"/>
          <w:szCs w:val="24"/>
        </w:rPr>
        <w:t xml:space="preserve">are then used as starting values for a model with covariates </w:t>
      </w:r>
      <w:r w:rsidRPr="008B2114">
        <w:rPr>
          <w:rFonts w:ascii="Times New Roman" w:hAnsi="Times New Roman"/>
          <w:b/>
          <w:i/>
          <w:sz w:val="24"/>
          <w:szCs w:val="24"/>
        </w:rPr>
        <w:t>z</w:t>
      </w:r>
      <w:r>
        <w:rPr>
          <w:rFonts w:ascii="Times New Roman" w:hAnsi="Times New Roman"/>
          <w:sz w:val="24"/>
          <w:szCs w:val="24"/>
        </w:rPr>
        <w:t xml:space="preserve">.    </w:t>
      </w:r>
    </w:p>
    <w:p w:rsidR="002564CE" w:rsidRPr="009D070E" w:rsidRDefault="002564CE">
      <w:pPr>
        <w:rPr>
          <w:rFonts w:ascii="Times New Roman" w:hAnsi="Times New Roman"/>
          <w:i/>
          <w:sz w:val="24"/>
          <w:szCs w:val="24"/>
        </w:rPr>
      </w:pPr>
      <w:r w:rsidRPr="009D070E">
        <w:rPr>
          <w:rFonts w:ascii="Times New Roman" w:hAnsi="Times New Roman"/>
          <w:i/>
          <w:sz w:val="24"/>
          <w:szCs w:val="24"/>
        </w:rPr>
        <w:t>Other starting values</w:t>
      </w:r>
    </w:p>
    <w:p w:rsidR="002564CE" w:rsidRDefault="002564CE">
      <w:pPr>
        <w:rPr>
          <w:rFonts w:ascii="Times New Roman" w:hAnsi="Times New Roman"/>
          <w:sz w:val="24"/>
          <w:szCs w:val="24"/>
        </w:rPr>
      </w:pPr>
      <w:r>
        <w:rPr>
          <w:rFonts w:ascii="Times New Roman" w:hAnsi="Times New Roman"/>
          <w:sz w:val="24"/>
          <w:szCs w:val="24"/>
        </w:rPr>
        <w:t xml:space="preserve">In some cases, our strategy for choosing starting values may not be appropriate. The auxiliary command </w:t>
      </w:r>
      <w:r w:rsidRPr="00B95D1D">
        <w:rPr>
          <w:rFonts w:ascii="Courier New" w:hAnsi="Courier New" w:cs="Courier New"/>
        </w:rPr>
        <w:t>zicen0</w:t>
      </w:r>
      <w:r>
        <w:rPr>
          <w:rFonts w:ascii="Times New Roman" w:hAnsi="Times New Roman"/>
          <w:sz w:val="24"/>
          <w:szCs w:val="24"/>
        </w:rPr>
        <w:t xml:space="preserve"> allows the user to enter starting values. See ZICEN’s help file for examples.    </w:t>
      </w:r>
    </w:p>
    <w:sectPr w:rsidR="00256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564CE"/>
    <w:rsid w:val="002564CE"/>
    <w:rsid w:val="00404C28"/>
    <w:rsid w:val="007307C9"/>
    <w:rsid w:val="008C10D1"/>
    <w:rsid w:val="00900AF5"/>
    <w:rsid w:val="00975365"/>
    <w:rsid w:val="00F2479C"/>
    <w:rsid w:val="00FA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564CE"/>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2564CE"/>
    <w:rPr>
      <w:rFonts w:ascii="Times New Roman" w:hAnsi="Times New Roman" w:cs="Times New Roman"/>
      <w:noProof/>
    </w:rPr>
  </w:style>
  <w:style w:type="paragraph" w:customStyle="1" w:styleId="EndNoteBibliography">
    <w:name w:val="EndNote Bibliography"/>
    <w:basedOn w:val="Normal"/>
    <w:link w:val="EndNoteBibliographyChar"/>
    <w:rsid w:val="002564CE"/>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2564CE"/>
    <w:rPr>
      <w:rFonts w:ascii="Times New Roman" w:hAnsi="Times New Roman" w:cs="Times New Roman"/>
      <w:noProof/>
    </w:rPr>
  </w:style>
  <w:style w:type="character" w:styleId="Hyperlink">
    <w:name w:val="Hyperlink"/>
    <w:basedOn w:val="DefaultParagraphFont"/>
    <w:uiPriority w:val="99"/>
    <w:unhideWhenUsed/>
    <w:rsid w:val="002564CE"/>
    <w:rPr>
      <w:color w:val="0000FF" w:themeColor="hyperlink"/>
      <w:u w:val="single"/>
    </w:rPr>
  </w:style>
  <w:style w:type="paragraph" w:styleId="BalloonText">
    <w:name w:val="Balloon Text"/>
    <w:basedOn w:val="Normal"/>
    <w:link w:val="BalloonTextChar"/>
    <w:uiPriority w:val="99"/>
    <w:semiHidden/>
    <w:unhideWhenUsed/>
    <w:rsid w:val="00256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4CE"/>
    <w:rPr>
      <w:rFonts w:ascii="Tahoma" w:hAnsi="Tahoma" w:cs="Tahoma"/>
      <w:sz w:val="16"/>
      <w:szCs w:val="16"/>
    </w:rPr>
  </w:style>
  <w:style w:type="character" w:styleId="PlaceholderText">
    <w:name w:val="Placeholder Text"/>
    <w:basedOn w:val="DefaultParagraphFont"/>
    <w:uiPriority w:val="99"/>
    <w:semiHidden/>
    <w:rsid w:val="002564CE"/>
    <w:rPr>
      <w:color w:val="808080"/>
    </w:rPr>
  </w:style>
  <w:style w:type="paragraph" w:styleId="ListParagraph">
    <w:name w:val="List Paragraph"/>
    <w:basedOn w:val="Normal"/>
    <w:uiPriority w:val="34"/>
    <w:qFormat/>
    <w:rsid w:val="00256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564CE"/>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2564CE"/>
    <w:rPr>
      <w:rFonts w:ascii="Times New Roman" w:hAnsi="Times New Roman" w:cs="Times New Roman"/>
      <w:noProof/>
    </w:rPr>
  </w:style>
  <w:style w:type="paragraph" w:customStyle="1" w:styleId="EndNoteBibliography">
    <w:name w:val="EndNote Bibliography"/>
    <w:basedOn w:val="Normal"/>
    <w:link w:val="EndNoteBibliographyChar"/>
    <w:rsid w:val="002564CE"/>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2564CE"/>
    <w:rPr>
      <w:rFonts w:ascii="Times New Roman" w:hAnsi="Times New Roman" w:cs="Times New Roman"/>
      <w:noProof/>
    </w:rPr>
  </w:style>
  <w:style w:type="character" w:styleId="Hyperlink">
    <w:name w:val="Hyperlink"/>
    <w:basedOn w:val="DefaultParagraphFont"/>
    <w:uiPriority w:val="99"/>
    <w:unhideWhenUsed/>
    <w:rsid w:val="002564CE"/>
    <w:rPr>
      <w:color w:val="0000FF" w:themeColor="hyperlink"/>
      <w:u w:val="single"/>
    </w:rPr>
  </w:style>
  <w:style w:type="paragraph" w:styleId="BalloonText">
    <w:name w:val="Balloon Text"/>
    <w:basedOn w:val="Normal"/>
    <w:link w:val="BalloonTextChar"/>
    <w:uiPriority w:val="99"/>
    <w:semiHidden/>
    <w:unhideWhenUsed/>
    <w:rsid w:val="00256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4CE"/>
    <w:rPr>
      <w:rFonts w:ascii="Tahoma" w:hAnsi="Tahoma" w:cs="Tahoma"/>
      <w:sz w:val="16"/>
      <w:szCs w:val="16"/>
    </w:rPr>
  </w:style>
  <w:style w:type="character" w:styleId="PlaceholderText">
    <w:name w:val="Placeholder Text"/>
    <w:basedOn w:val="DefaultParagraphFont"/>
    <w:uiPriority w:val="99"/>
    <w:semiHidden/>
    <w:rsid w:val="002564CE"/>
    <w:rPr>
      <w:color w:val="808080"/>
    </w:rPr>
  </w:style>
  <w:style w:type="paragraph" w:styleId="ListParagraph">
    <w:name w:val="List Paragraph"/>
    <w:basedOn w:val="Normal"/>
    <w:uiPriority w:val="34"/>
    <w:qFormat/>
    <w:rsid w:val="00256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A194A2216E814ABDBE08757AB722DE" ma:contentTypeVersion="1" ma:contentTypeDescription="Create a new document." ma:contentTypeScope="" ma:versionID="aa503ddf46788467969d12b7d98e0710">
  <xsd:schema xmlns:xsd="http://www.w3.org/2001/XMLSchema" xmlns:xs="http://www.w3.org/2001/XMLSchema" xmlns:p="http://schemas.microsoft.com/office/2006/metadata/properties" xmlns:ns1="http://schemas.microsoft.com/sharepoint/v3" targetNamespace="http://schemas.microsoft.com/office/2006/metadata/properties" ma:root="true" ma:fieldsID="d810986b036840e28274f9fca8f918e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F6BEC0-3463-430B-9E1C-08C2A0DF781C}"/>
</file>

<file path=customXml/itemProps2.xml><?xml version="1.0" encoding="utf-8"?>
<ds:datastoreItem xmlns:ds="http://schemas.openxmlformats.org/officeDocument/2006/customXml" ds:itemID="{E9C68C63-AD8E-4A0C-9312-38EE9A3F0C3B}"/>
</file>

<file path=customXml/itemProps3.xml><?xml version="1.0" encoding="utf-8"?>
<ds:datastoreItem xmlns:ds="http://schemas.openxmlformats.org/officeDocument/2006/customXml" ds:itemID="{14AA9D1E-9056-411D-8EC5-D82CC40149C7}"/>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cpm</dc:creator>
  <cp:lastModifiedBy>cpm</cp:lastModifiedBy>
  <cp:revision>2</cp:revision>
  <dcterms:created xsi:type="dcterms:W3CDTF">2014-10-15T18:59:00Z</dcterms:created>
  <dcterms:modified xsi:type="dcterms:W3CDTF">2014-10-15T18:59:00Z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0x01010060A194A2216E814ABDBE08757AB722DE</vt:lpwstr>
  </property>
</Properties>
</file>