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GT Pathways Competencies and Student Learning Objectives for GT-SS3 Human Behavior, Culture, or Social Frameworks in Social &amp; Behavioral Sciences (used for ETST 2108):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In a GT Pathways Human Behavior, Culture, or Social Frameworks Course (under Social &amp; Behavioral Sciences) students: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knowledge of human behavior, including learning, cognition, and human development or cultural or social frameworks/theories that explore and compare issues and characteristics of individuals, groups, communities, or cultures.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tools, approaches, and skills from the Social &amp; Behavioral Sciences to analyze and interpret issues.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hd w:fill="ffffff" w:val="clear"/>
        <w:spacing w:after="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 diverse perspectives and groups.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12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Diversity and Global Learning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Self-Awareness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Demonstrate how their own attitudes, behaviors, or beliefs compare or relate to those of other individuals, groups, communities, or cultures.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Examine Perspectives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hd w:fill="ffffff" w:val="clear"/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Examine diverse perspectives when investigating social and behavioral topics within natural or human systems.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Diversity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hd w:fill="ffffff" w:val="clear"/>
        <w:ind w:left="1440" w:hanging="360"/>
      </w:pPr>
      <w:r w:rsidDel="00000000" w:rsidR="00000000" w:rsidRPr="00000000">
        <w:rPr>
          <w:rtl w:val="0"/>
        </w:rPr>
        <w:t xml:space="preserve">Make connections between the world-views, power structures, and experiences of individuals, groups, communities, or cultures, in historical or contemporary contexts.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12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12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Critical Thinking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  <w:t xml:space="preserve">Competency in critical thinking addresses a student’s ability to analyze information and ideas from multiple perspectives and articulate an argument or an opinion or a conclusion based on their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an Issue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Use information to describe a problem or issue and/or articulate a question related to the topic.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Utilize Context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3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color w:val="201f1e"/>
          <w:rtl w:val="0"/>
        </w:rPr>
        <w:t xml:space="preserve">Evaluate the relevance of context when presenting a position.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Identify assumptions.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spacing w:after="220" w:before="0" w:beforeAutospacing="0" w:line="240" w:lineRule="auto"/>
        <w:ind w:left="1440" w:hanging="360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Analyze one’s own and others’ assumptions.</w:t>
      </w:r>
    </w:p>
    <w:p w:rsidR="00000000" w:rsidDel="00000000" w:rsidP="00000000" w:rsidRDefault="00000000" w:rsidRPr="00000000" w14:paraId="00000019">
      <w:pPr>
        <w:widowControl w:val="0"/>
        <w:spacing w:after="220" w:before="220" w:line="240" w:lineRule="auto"/>
        <w:ind w:left="0" w:firstLine="0"/>
        <w:rPr>
          <w:color w:val="201f1e"/>
        </w:rPr>
      </w:pPr>
      <w:r w:rsidDel="00000000" w:rsidR="00000000" w:rsidRPr="00000000">
        <w:rPr>
          <w:color w:val="201f1e"/>
          <w:rtl w:val="0"/>
        </w:rPr>
        <w:t xml:space="preserve">      5. Understand Implications and Make Conclusions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220" w:line="240" w:lineRule="auto"/>
        <w:ind w:left="1440" w:hanging="360"/>
        <w:rPr>
          <w:color w:val="201f1e"/>
          <w:u w:val="none"/>
        </w:rPr>
      </w:pPr>
      <w:r w:rsidDel="00000000" w:rsidR="00000000" w:rsidRPr="00000000">
        <w:rPr>
          <w:color w:val="201f1e"/>
          <w:rtl w:val="0"/>
        </w:rPr>
        <w:t xml:space="preserve">Establish a conclusion that is tied to the range of information presented.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220" w:before="0" w:beforeAutospacing="0" w:line="240" w:lineRule="auto"/>
        <w:ind w:left="1440" w:hanging="360"/>
        <w:rPr>
          <w:color w:val="201f1e"/>
          <w:u w:val="none"/>
        </w:rPr>
      </w:pPr>
      <w:r w:rsidDel="00000000" w:rsidR="00000000" w:rsidRPr="00000000">
        <w:rPr>
          <w:color w:val="201f1e"/>
          <w:rtl w:val="0"/>
        </w:rPr>
        <w:t xml:space="preserve">Reflect on implications and consequences of stated conclusion.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